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image/png" PartName="/word/media/document_image_rId11.png"/>
  <Override ContentType="image/png" PartName="/word/media/document_image_rId12.png"/>
  <Override ContentType="image/png" PartName="/word/media/document_image_rId13.png"/>
  <Override ContentType="image/png" PartName="/word/media/document_image_rId14.png"/>
  <Override ContentType="image/png" PartName="/word/media/document_image_rId15.png"/>
  <Override ContentType="image/png" PartName="/word/media/document_image_rId16.png"/>
  <Override ContentType="image/png" PartName="/word/media/document_image_rId17.png"/>
  <Override ContentType="image/png" PartName="/word/media/document_image_rId18.png"/>
  <Override ContentType="image/png" PartName="/word/media/document_image_rId19.png"/>
  <Override ContentType="image/png" PartName="/word/media/document_image_rId20.png"/>
  <Override ContentType="image/png" PartName="/word/media/document_image_rId21.png"/>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Target="docProps/app.xml" Type="http://schemas.openxmlformats.org/officeDocument/2006/relationships/extended-properties" Id="rId3"></Relationship><Relationship Target="docProps/core.xml" Type="http://schemas.openxmlformats.org/package/2006/relationships/metadata/core-properties" Id="rId2"></Relationship><Relationship Target="word/document.xml" Type="http://schemas.openxmlformats.org/officeDocument/2006/relationships/officeDocument" Id="rId1"></Relationship></Relationships>
</file>

<file path=word/document.xml><?xml version="1.0" encoding="utf-8"?>
<w:document xmlns:wp="http://schemas.openxmlformats.org/drawingml/2006/wordprocessingDrawing" xmlns:r="http://schemas.openxmlformats.org/officeDocument/2006/relationships" xmlns:a="http://schemas.openxmlformats.org/drawingml/2006/main" xmlns:w="http://schemas.openxmlformats.org/wordprocess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rsidR="00DA3BF0" w:rsidP="00870033" w:rsidRDefault="00DA3BF0" w14:paraId="4acc407f" w14:textId="4acc407f">
      <w:pPr>
        <w:pStyle w:val="Heading3"/>
        <w15:collapsed w:val="false"/>
      </w:pPr>
      <w:bookmarkStart w:name="_GoBack" w:id="0"/>
      <w:bookmarkEnd w:id="0"/>
    </w:p>
    <w:p w:rsidRPr="006536A5" w:rsidR="006536A5" w:rsidP="006536A5" w:rsidRDefault="006536A5"/>
    <w:p>
      <w:pPr>
        <w:pStyle w:val="Title"/>
      </w:pPr>
      <w:r>
        <w:t>Overview of All SEER-Medicare Publications</w:t>
      </w:r>
    </w:p>
    <w:p>
      <w:pPr>
        <w:pStyle w:val="Subtitle"/>
      </w:pPr>
      <w:r>
        <w:t>Outcomes Insights, Inc.</w:t>
      </w:r>
    </w:p>
    <w:p>
      <w:pPr>
        <w:pBdr/>
        <w:spacing w:before="20" w:after="20"/>
        <w:ind w:left="20" w:right="20"/>
        <w:jc w:val="left"/>
      </w:pPr>
      <w:r>
        <w:rPr>
          <w:rFonts w:ascii="Times New Roman" w:hAnsi="Times New Roman" w:cs="Times New Roman"/>
          <w:color w:val="000000"/>
          <w:sz w:val="22"/>
        </w:rPr>
        <w:t xml:space="preserve"/>
      </w:r>
    </w:p>
    <w:p>
      <w:pPr>
        <w:pStyle w:val="Subtitle"/>
      </w:pPr>
      <w:r>
        <w:t>Mark D. Danese, MHS, PhD</w:t>
      </w:r>
    </w:p>
    <w:p>
      <w:pPr>
        <w:pStyle w:val="Subtitle"/>
      </w:pPr>
      <w:r>
        <w:t>Marc Halperin</w:t>
      </w:r>
    </w:p>
    <w:p>
      <w:pPr>
        <w:pBdr/>
        <w:spacing w:before="20" w:after="20"/>
        <w:ind w:left="20" w:right="20"/>
        <w:jc w:val="left"/>
      </w:pPr>
      <w:r>
        <w:rPr>
          <w:rFonts w:ascii="Times New Roman" w:hAnsi="Times New Roman" w:cs="Times New Roman"/>
          <w:color w:val="000000"/>
          <w:sz w:val="22"/>
        </w:rPr>
        <w:t xml:space="preserve"/>
      </w:r>
    </w:p>
    <w:p>
      <w:pPr>
        <w:pStyle w:val="Subtitle"/>
      </w:pPr>
      <w:r>
        <w:t>October 11, 2020</w:t>
      </w:r>
    </w:p>
    <w:p>
      <w:br w:type="page"/>
    </w:p>
    <w:p>
      <w:pPr>
        <w:pStyle w:val="Heading1"/>
      </w:pPr>
      <w:r>
        <w:t>Overview</w:t>
      </w:r>
    </w:p>
    <w:p>
      <w:pPr>
        <w:numPr>
          <w:ilvl w:val="0"/>
          <w:numId w:val="14"/>
        </w:numPr>
        <w:pBdr/>
        <w:spacing w:before="20" w:after="20"/>
        <w:jc w:val="left"/>
      </w:pPr>
      <w:r>
        <w:rPr>
          <w:rFonts w:ascii="Times New Roman" w:hAnsi="Times New Roman" w:cs="Times New Roman"/>
          <w:color w:val="000000"/>
          <w:sz w:val="22"/>
        </w:rPr>
        <w:t xml:space="preserve">Information was extracted from the National Cancer Institute (NCI) online reference database for "SEER-Medicare" publications</w:t>
      </w:r>
    </w:p>
    <w:p>
      <w:pPr>
        <w:numPr>
          <w:ilvl w:val="1"/>
          <w:numId w:val="14"/>
        </w:numPr>
        <w:pBdr/>
        <w:spacing w:before="20" w:after="20"/>
        <w:jc w:val="left"/>
      </w:pPr>
      <w:hyperlink w:history="true" r:id="rId10">
        <w:r>
          <w:rPr>
            <w:rFonts w:ascii="Times New Roman" w:hAnsi="Times New Roman" w:cs="Times New Roman"/>
            <w:color w:val="000000"/>
            <w:sz w:val="22"/>
            <w:u w:val="single"/>
          </w:rPr>
          <w:t xml:space="preserve">http://healthcaredelivery.cancer.gov/seermedicare/overview/pubsearch.html</w:t>
        </w:r>
      </w:hyperlink>
    </w:p>
    <w:p>
      <w:pPr>
        <w:numPr>
          <w:ilvl w:val="1"/>
          <w:numId w:val="14"/>
        </w:numPr>
        <w:pBdr/>
        <w:spacing w:before="20" w:after="20"/>
        <w:jc w:val="left"/>
      </w:pPr>
      <w:r>
        <w:rPr>
          <w:rFonts w:ascii="Times New Roman" w:hAnsi="Times New Roman" w:cs="Times New Roman"/>
          <w:color w:val="000000"/>
          <w:sz w:val="22"/>
        </w:rPr>
        <w:t xml:space="preserve">Data accessed October 11, 2020 - articles published in 2020 may be underrepresented due to reporting lag</w:t>
      </w:r>
    </w:p>
    <w:p>
      <w:pPr>
        <w:numPr>
          <w:ilvl w:val="1"/>
          <w:numId w:val="14"/>
        </w:numPr>
        <w:pBdr/>
        <w:spacing w:before="20" w:after="20"/>
        <w:jc w:val="left"/>
      </w:pPr>
      <w:r>
        <w:rPr>
          <w:rFonts w:ascii="Times New Roman" w:hAnsi="Times New Roman" w:cs="Times New Roman"/>
          <w:color w:val="000000"/>
          <w:sz w:val="22"/>
        </w:rPr>
        <w:t xml:space="preserve">2056 citations retrieved</w:t>
      </w:r>
    </w:p>
    <w:p>
      <w:pPr>
        <w:numPr>
          <w:ilvl w:val="1"/>
          <w:numId w:val="14"/>
        </w:numPr>
        <w:pBdr/>
        <w:spacing w:before="20" w:after="20"/>
        <w:jc w:val="left"/>
      </w:pPr>
      <w:r>
        <w:rPr>
          <w:rFonts w:ascii="Times New Roman" w:hAnsi="Times New Roman" w:cs="Times New Roman"/>
          <w:color w:val="000000"/>
          <w:sz w:val="22"/>
        </w:rPr>
        <w:t xml:space="preserve">NCI classified all publications according to the following:</w:t>
      </w:r>
    </w:p>
    <w:p>
      <w:pPr>
        <w:numPr>
          <w:ilvl w:val="2"/>
          <w:numId w:val="14"/>
        </w:numPr>
        <w:pBdr/>
        <w:spacing w:before="20" w:after="20"/>
        <w:jc w:val="left"/>
      </w:pPr>
      <w:r>
        <w:rPr>
          <w:rFonts w:ascii="Times New Roman" w:hAnsi="Times New Roman" w:cs="Times New Roman"/>
          <w:color w:val="000000"/>
          <w:sz w:val="22"/>
        </w:rPr>
        <w:t xml:space="preserve">21 tumor types (e.g., colorectal, leukemia, etc.)</w:t>
      </w:r>
    </w:p>
    <w:p>
      <w:pPr>
        <w:numPr>
          <w:ilvl w:val="0"/>
          <w:numId w:val="14"/>
        </w:numPr>
        <w:pBdr/>
        <w:spacing w:before="20" w:after="20"/>
        <w:jc w:val="left"/>
      </w:pPr>
      <w:r>
        <w:rPr>
          <w:rFonts w:ascii="Times New Roman" w:hAnsi="Times New Roman" w:cs="Times New Roman"/>
          <w:color w:val="000000"/>
          <w:sz w:val="22"/>
        </w:rPr>
        <w:t xml:space="preserve">Summary measures were calculated by year, tumor site, journal, and author</w:t>
      </w:r>
    </w:p>
    <w:p>
      <w:pPr>
        <w:numPr>
          <w:ilvl w:val="0"/>
          <w:numId w:val="14"/>
        </w:numPr>
        <w:pBdr/>
        <w:spacing w:before="20" w:after="20"/>
        <w:jc w:val="left"/>
      </w:pPr>
      <w:r>
        <w:rPr>
          <w:rFonts w:ascii="Times New Roman" w:hAnsi="Times New Roman" w:cs="Times New Roman"/>
          <w:color w:val="000000"/>
          <w:sz w:val="22"/>
        </w:rPr>
        <w:t xml:space="preserve">Exploratory analyses were conducted to assess publication frequency relative to cancer incidence, prevalence, and deaths</w:t>
      </w:r>
    </w:p>
    <w:p>
      <w:pPr>
        <w:numPr>
          <w:ilvl w:val="0"/>
          <w:numId w:val="14"/>
        </w:numPr>
        <w:pBdr/>
        <w:spacing w:before="20" w:after="20"/>
        <w:jc w:val="left"/>
      </w:pPr>
      <w:r>
        <w:rPr>
          <w:rFonts w:ascii="Times New Roman" w:hAnsi="Times New Roman" w:cs="Times New Roman"/>
          <w:color w:val="000000"/>
          <w:sz w:val="22"/>
        </w:rPr>
        <w:t xml:space="preserve">All analyses were conducted using R version 3.2.2 (2015-08-14)</w:t>
      </w:r>
    </w:p>
    <w:p>
      <w:pPr>
        <w:numPr>
          <w:ilvl w:val="0"/>
          <w:numId w:val="14"/>
        </w:numPr>
        <w:pBdr/>
        <w:spacing w:before="20" w:after="20"/>
        <w:jc w:val="left"/>
      </w:pPr>
      <w:r>
        <w:rPr>
          <w:rFonts w:ascii="Times New Roman" w:hAnsi="Times New Roman" w:cs="Times New Roman"/>
          <w:color w:val="000000"/>
          <w:sz w:val="22"/>
        </w:rPr>
        <w:t xml:space="preserve">All data were extracted from internet-based sources on October 11, 2020 using the rvest package (version 0.3.2)</w:t>
      </w:r>
    </w:p>
    <w:p>
      <w:pPr>
        <w:numPr>
          <w:ilvl w:val="0"/>
          <w:numId w:val="14"/>
        </w:numPr>
        <w:pBdr/>
        <w:spacing w:before="20" w:after="20"/>
        <w:jc w:val="left"/>
      </w:pPr>
      <w:r>
        <w:rPr>
          <w:rFonts w:ascii="Times New Roman" w:hAnsi="Times New Roman" w:cs="Times New Roman"/>
          <w:color w:val="000000"/>
          <w:sz w:val="22"/>
        </w:rPr>
        <w:t xml:space="preserve">Figures were created using the ggplot2 package (version 2.2.1)</w:t>
      </w:r>
    </w:p>
    <w:p>
      <w:pPr>
        <w:numPr>
          <w:ilvl w:val="0"/>
          <w:numId w:val="14"/>
        </w:numPr>
        <w:pBdr/>
        <w:spacing w:before="20" w:after="20"/>
        <w:jc w:val="left"/>
      </w:pPr>
      <w:r>
        <w:rPr>
          <w:rFonts w:ascii="Times New Roman" w:hAnsi="Times New Roman" w:cs="Times New Roman"/>
          <w:color w:val="000000"/>
          <w:sz w:val="22"/>
        </w:rPr>
        <w:t xml:space="preserve">This report was generated using the ReporteRs package (version 0.8.8)</w:t>
      </w:r>
    </w:p>
    <w:p>
      <w:pPr>
        <w:pStyle w:val="Heading1"/>
      </w:pPr>
      <w:r>
        <w:t>SEER-Medicare Publications Search</w:t>
      </w:r>
    </w:p>
    <w:p>
      <w:pPr>
        <w:pStyle w:val="Heading2"/>
      </w:pPr>
      <w:r>
        <w:t>Tumor Sites:</w:t>
      </w:r>
    </w:p>
    <w:p>
      <w:pPr>
        <w:numPr>
          <w:ilvl w:val="0"/>
          <w:numId w:val="15"/>
        </w:numPr>
        <w:pBdr/>
        <w:spacing w:before="20" w:after="20"/>
        <w:jc w:val="left"/>
      </w:pPr>
      <w:r>
        <w:rPr>
          <w:rFonts w:ascii="Times New Roman" w:hAnsi="Times New Roman" w:cs="Times New Roman"/>
          <w:color w:val="000000"/>
          <w:sz w:val="22"/>
        </w:rPr>
        <w:t xml:space="preserve">Breast</w:t>
      </w:r>
    </w:p>
    <w:p>
      <w:pPr>
        <w:numPr>
          <w:ilvl w:val="0"/>
          <w:numId w:val="15"/>
        </w:numPr>
        <w:pBdr/>
        <w:spacing w:before="20" w:after="20"/>
        <w:jc w:val="left"/>
      </w:pPr>
      <w:r>
        <w:rPr>
          <w:rFonts w:ascii="Times New Roman" w:hAnsi="Times New Roman" w:cs="Times New Roman"/>
          <w:color w:val="000000"/>
          <w:sz w:val="22"/>
        </w:rPr>
        <w:t xml:space="preserve">Prostate</w:t>
      </w:r>
    </w:p>
    <w:p>
      <w:pPr>
        <w:numPr>
          <w:ilvl w:val="0"/>
          <w:numId w:val="15"/>
        </w:numPr>
        <w:pBdr/>
        <w:spacing w:before="20" w:after="20"/>
        <w:jc w:val="left"/>
      </w:pPr>
      <w:r>
        <w:rPr>
          <w:rFonts w:ascii="Times New Roman" w:hAnsi="Times New Roman" w:cs="Times New Roman"/>
          <w:color w:val="000000"/>
          <w:sz w:val="22"/>
        </w:rPr>
        <w:t xml:space="preserve">Colorectal</w:t>
      </w:r>
    </w:p>
    <w:p>
      <w:pPr>
        <w:numPr>
          <w:ilvl w:val="0"/>
          <w:numId w:val="15"/>
        </w:numPr>
        <w:pBdr/>
        <w:spacing w:before="20" w:after="20"/>
        <w:jc w:val="left"/>
      </w:pPr>
      <w:r>
        <w:rPr>
          <w:rFonts w:ascii="Times New Roman" w:hAnsi="Times New Roman" w:cs="Times New Roman"/>
          <w:color w:val="000000"/>
          <w:sz w:val="22"/>
        </w:rPr>
        <w:t xml:space="preserve">Lung</w:t>
      </w:r>
    </w:p>
    <w:p>
      <w:pPr>
        <w:numPr>
          <w:ilvl w:val="0"/>
          <w:numId w:val="15"/>
        </w:numPr>
        <w:pBdr/>
        <w:spacing w:before="20" w:after="20"/>
        <w:jc w:val="left"/>
      </w:pPr>
      <w:r>
        <w:rPr>
          <w:rFonts w:ascii="Times New Roman" w:hAnsi="Times New Roman" w:cs="Times New Roman"/>
          <w:color w:val="000000"/>
          <w:sz w:val="22"/>
        </w:rPr>
        <w:t xml:space="preserve">Other</w:t>
      </w:r>
    </w:p>
    <w:p>
      <w:pPr>
        <w:numPr>
          <w:ilvl w:val="0"/>
          <w:numId w:val="15"/>
        </w:numPr>
        <w:pBdr/>
        <w:spacing w:before="20" w:after="20"/>
        <w:jc w:val="left"/>
      </w:pPr>
      <w:r>
        <w:rPr>
          <w:rFonts w:ascii="Times New Roman" w:hAnsi="Times New Roman" w:cs="Times New Roman"/>
          <w:color w:val="000000"/>
          <w:sz w:val="22"/>
        </w:rPr>
        <w:t xml:space="preserve">Urinary Bladder</w:t>
      </w:r>
    </w:p>
    <w:p>
      <w:pPr>
        <w:numPr>
          <w:ilvl w:val="0"/>
          <w:numId w:val="15"/>
        </w:numPr>
        <w:pBdr/>
        <w:spacing w:before="20" w:after="20"/>
        <w:jc w:val="left"/>
      </w:pPr>
      <w:r>
        <w:rPr>
          <w:rFonts w:ascii="Times New Roman" w:hAnsi="Times New Roman" w:cs="Times New Roman"/>
          <w:color w:val="000000"/>
          <w:sz w:val="22"/>
        </w:rPr>
        <w:t xml:space="preserve">Pancreas</w:t>
      </w:r>
    </w:p>
    <w:p>
      <w:pPr>
        <w:numPr>
          <w:ilvl w:val="0"/>
          <w:numId w:val="15"/>
        </w:numPr>
        <w:pBdr/>
        <w:spacing w:before="20" w:after="20"/>
        <w:jc w:val="left"/>
      </w:pPr>
      <w:r>
        <w:rPr>
          <w:rFonts w:ascii="Times New Roman" w:hAnsi="Times New Roman" w:cs="Times New Roman"/>
          <w:color w:val="000000"/>
          <w:sz w:val="22"/>
        </w:rPr>
        <w:t xml:space="preserve">Head and Neck</w:t>
      </w:r>
    </w:p>
    <w:p>
      <w:pPr>
        <w:numPr>
          <w:ilvl w:val="0"/>
          <w:numId w:val="15"/>
        </w:numPr>
        <w:pBdr/>
        <w:spacing w:before="20" w:after="20"/>
        <w:jc w:val="left"/>
      </w:pPr>
      <w:r>
        <w:rPr>
          <w:rFonts w:ascii="Times New Roman" w:hAnsi="Times New Roman" w:cs="Times New Roman"/>
          <w:color w:val="000000"/>
          <w:sz w:val="22"/>
        </w:rPr>
        <w:t xml:space="preserve">Renal</w:t>
      </w:r>
    </w:p>
    <w:p>
      <w:pPr>
        <w:numPr>
          <w:ilvl w:val="0"/>
          <w:numId w:val="15"/>
        </w:numPr>
        <w:pBdr/>
        <w:spacing w:before="20" w:after="20"/>
        <w:jc w:val="left"/>
      </w:pPr>
      <w:r>
        <w:rPr>
          <w:rFonts w:ascii="Times New Roman" w:hAnsi="Times New Roman" w:cs="Times New Roman"/>
          <w:color w:val="000000"/>
          <w:sz w:val="22"/>
        </w:rPr>
        <w:t xml:space="preserve">Lymphoma</w:t>
      </w:r>
    </w:p>
    <w:p>
      <w:pPr>
        <w:numPr>
          <w:ilvl w:val="0"/>
          <w:numId w:val="15"/>
        </w:numPr>
        <w:pBdr/>
        <w:spacing w:before="20" w:after="20"/>
        <w:jc w:val="left"/>
      </w:pPr>
      <w:r>
        <w:rPr>
          <w:rFonts w:ascii="Times New Roman" w:hAnsi="Times New Roman" w:cs="Times New Roman"/>
          <w:color w:val="000000"/>
          <w:sz w:val="22"/>
        </w:rPr>
        <w:t xml:space="preserve">Ovary</w:t>
      </w:r>
    </w:p>
    <w:p>
      <w:pPr>
        <w:numPr>
          <w:ilvl w:val="0"/>
          <w:numId w:val="15"/>
        </w:numPr>
        <w:pBdr/>
        <w:spacing w:before="20" w:after="20"/>
        <w:jc w:val="left"/>
      </w:pPr>
      <w:r>
        <w:rPr>
          <w:rFonts w:ascii="Times New Roman" w:hAnsi="Times New Roman" w:cs="Times New Roman"/>
          <w:color w:val="000000"/>
          <w:sz w:val="22"/>
        </w:rPr>
        <w:t xml:space="preserve">Liver</w:t>
      </w:r>
    </w:p>
    <w:p>
      <w:pPr>
        <w:numPr>
          <w:ilvl w:val="0"/>
          <w:numId w:val="15"/>
        </w:numPr>
        <w:pBdr/>
        <w:spacing w:before="20" w:after="20"/>
        <w:jc w:val="left"/>
      </w:pPr>
      <w:r>
        <w:rPr>
          <w:rFonts w:ascii="Times New Roman" w:hAnsi="Times New Roman" w:cs="Times New Roman"/>
          <w:color w:val="000000"/>
          <w:sz w:val="22"/>
        </w:rPr>
        <w:t xml:space="preserve">Esophagus</w:t>
      </w:r>
    </w:p>
    <w:p>
      <w:pPr>
        <w:numPr>
          <w:ilvl w:val="0"/>
          <w:numId w:val="15"/>
        </w:numPr>
        <w:pBdr/>
        <w:spacing w:before="20" w:after="20"/>
        <w:jc w:val="left"/>
      </w:pPr>
      <w:r>
        <w:rPr>
          <w:rFonts w:ascii="Times New Roman" w:hAnsi="Times New Roman" w:cs="Times New Roman"/>
          <w:color w:val="000000"/>
          <w:sz w:val="22"/>
        </w:rPr>
        <w:t xml:space="preserve">Leukemia</w:t>
      </w:r>
    </w:p>
    <w:p>
      <w:pPr>
        <w:numPr>
          <w:ilvl w:val="0"/>
          <w:numId w:val="15"/>
        </w:numPr>
        <w:pBdr/>
        <w:spacing w:before="20" w:after="20"/>
        <w:jc w:val="left"/>
      </w:pPr>
      <w:r>
        <w:rPr>
          <w:rFonts w:ascii="Times New Roman" w:hAnsi="Times New Roman" w:cs="Times New Roman"/>
          <w:color w:val="000000"/>
          <w:sz w:val="22"/>
        </w:rPr>
        <w:t xml:space="preserve">Corpus Uteri</w:t>
      </w:r>
    </w:p>
    <w:p>
      <w:pPr>
        <w:numPr>
          <w:ilvl w:val="0"/>
          <w:numId w:val="15"/>
        </w:numPr>
        <w:pBdr/>
        <w:spacing w:before="20" w:after="20"/>
        <w:jc w:val="left"/>
      </w:pPr>
      <w:r>
        <w:rPr>
          <w:rFonts w:ascii="Times New Roman" w:hAnsi="Times New Roman" w:cs="Times New Roman"/>
          <w:color w:val="000000"/>
          <w:sz w:val="22"/>
        </w:rPr>
        <w:t xml:space="preserve">Gastric</w:t>
      </w:r>
    </w:p>
    <w:p>
      <w:pPr>
        <w:numPr>
          <w:ilvl w:val="0"/>
          <w:numId w:val="15"/>
        </w:numPr>
        <w:pBdr/>
        <w:spacing w:before="20" w:after="20"/>
        <w:jc w:val="left"/>
      </w:pPr>
      <w:r>
        <w:rPr>
          <w:rFonts w:ascii="Times New Roman" w:hAnsi="Times New Roman" w:cs="Times New Roman"/>
          <w:color w:val="000000"/>
          <w:sz w:val="22"/>
        </w:rPr>
        <w:t xml:space="preserve">Brain &amp; Other Nervous System</w:t>
      </w:r>
    </w:p>
    <w:p>
      <w:pPr>
        <w:numPr>
          <w:ilvl w:val="0"/>
          <w:numId w:val="15"/>
        </w:numPr>
        <w:pBdr/>
        <w:spacing w:before="20" w:after="20"/>
        <w:jc w:val="left"/>
      </w:pPr>
      <w:r>
        <w:rPr>
          <w:rFonts w:ascii="Times New Roman" w:hAnsi="Times New Roman" w:cs="Times New Roman"/>
          <w:color w:val="000000"/>
          <w:sz w:val="22"/>
        </w:rPr>
        <w:t xml:space="preserve">Cervical</w:t>
      </w:r>
    </w:p>
    <w:p>
      <w:pPr>
        <w:numPr>
          <w:ilvl w:val="0"/>
          <w:numId w:val="15"/>
        </w:numPr>
        <w:pBdr/>
        <w:spacing w:before="20" w:after="20"/>
        <w:jc w:val="left"/>
      </w:pPr>
      <w:r>
        <w:rPr>
          <w:rFonts w:ascii="Times New Roman" w:hAnsi="Times New Roman" w:cs="Times New Roman"/>
          <w:color w:val="000000"/>
          <w:sz w:val="22"/>
        </w:rPr>
        <w:t xml:space="preserve">Multiple Myeloma</w:t>
      </w:r>
    </w:p>
    <w:p>
      <w:pPr>
        <w:numPr>
          <w:ilvl w:val="0"/>
          <w:numId w:val="15"/>
        </w:numPr>
        <w:pBdr/>
        <w:spacing w:before="20" w:after="20"/>
        <w:jc w:val="left"/>
      </w:pPr>
      <w:r>
        <w:rPr>
          <w:rFonts w:ascii="Times New Roman" w:hAnsi="Times New Roman" w:cs="Times New Roman"/>
          <w:color w:val="000000"/>
          <w:sz w:val="22"/>
        </w:rPr>
        <w:t xml:space="preserve">Skin</w:t>
      </w:r>
    </w:p>
    <w:p>
      <w:pPr>
        <w:numPr>
          <w:ilvl w:val="0"/>
          <w:numId w:val="15"/>
        </w:numPr>
        <w:pBdr/>
        <w:spacing w:before="20" w:after="20"/>
        <w:jc w:val="left"/>
      </w:pPr>
      <w:r>
        <w:rPr>
          <w:rFonts w:ascii="Times New Roman" w:hAnsi="Times New Roman" w:cs="Times New Roman"/>
          <w:color w:val="000000"/>
          <w:sz w:val="22"/>
        </w:rPr>
        <w:t xml:space="preserve">Testis</w:t>
      </w:r>
    </w:p>
    <w:p>
      <w:br w:type="page"/>
    </w:p>
    <w:p>
      <w:pPr>
        <w:pStyle w:val="Heading1"/>
      </w:pPr>
      <w:r>
        <w:t>Summary of Publications</w:t>
      </w:r>
    </w:p>
    <w:p>
      <w:pPr>
        <w:pBdr/>
        <w:spacing w:before="100" w:after="100"/>
        <w:ind w:left="100" w:right="100"/>
        <w:jc w:val="center"/>
      </w:pPr>
      <w:r/>
      <w:r>
        <w:drawing>
          <wp:inline distT="0" distB="0" distL="0" distR="0">
            <wp:extent cx="5943600" cy="3657600"/>
            <wp:effectExtent l="0" t="0" r="0" b="0"/>
            <wp:docPr id="47" name="C:/Users/Marc/AppData/Local/Temp/RtmpcNyqz5/file50445d9b26f8/plot001.png" descr="image"/>
            <wp:cNvGraphicFramePr>
              <a:graphicFrameLocks noChangeAspect="true"/>
            </wp:cNvGraphicFramePr>
            <a:graphic>
              <a:graphicData uri="http://schemas.openxmlformats.org/drawingml/2006/picture">
                <pic:pic>
                  <pic:nvPicPr>
                    <pic:cNvPr id="48" name="C:/Users/Marc/AppData/Local/Temp/RtmpcNyqz5/file50445d9b26f8/plot001.png"/>
                    <pic:cNvPicPr/>
                  </pic:nvPicPr>
                  <pic:blipFill>
                    <a:blip r:embed="rId11"/>
                    <a:stretch>
                      <a:fillRect/>
                    </a:stretch>
                  </pic:blipFill>
                  <pic:spPr>
                    <a:xfrm rot="0">
                      <a:off x="-1" y="-1"/>
                      <a:ext cx="5943600" cy="3657600"/>
                    </a:xfrm>
                    <a:prstGeom prst="rect">
                      <a:avLst/>
                    </a:prstGeom>
                  </pic:spPr>
                </pic:pic>
              </a:graphicData>
            </a:graphic>
          </wp:inline>
        </w:drawing>
      </w:r>
    </w:p>
    <w:p>
      <w:pPr>
        <w:pBdr/>
        <w:spacing w:before="20" w:after="20"/>
        <w:ind w:left="20" w:right="20"/>
        <w:jc w:val="left"/>
      </w:pPr>
      <w:r>
        <w:rPr>
          <w:rFonts w:ascii="Times New Roman" w:hAnsi="Times New Roman" w:cs="Times New Roman"/>
          <w:color w:val="000000"/>
          <w:sz w:val="22"/>
        </w:rPr>
        <w:t xml:space="preserve"/>
      </w:r>
    </w:p>
    <w:p>
      <w:pPr>
        <w:pBdr/>
        <w:spacing w:before="20" w:after="20"/>
        <w:ind w:left="20" w:right="20"/>
        <w:jc w:val="left"/>
      </w:pPr>
      <w:r>
        <w:rPr>
          <w:rFonts w:ascii="Times New Roman" w:hAnsi="Times New Roman" w:cs="Times New Roman"/>
          <w:color w:val="000000"/>
          <w:sz w:val="22"/>
        </w:rPr>
        <w:t xml:space="preserve"/>
      </w:r>
    </w:p>
    <w:p>
      <w:pPr>
        <w:pBdr/>
        <w:spacing w:before="100" w:after="100"/>
        <w:ind w:left="100" w:right="100"/>
        <w:jc w:val="center"/>
      </w:pPr>
      <w:r/>
      <w:r>
        <w:drawing>
          <wp:inline distT="0" distB="0" distL="0" distR="0">
            <wp:extent cx="5943600" cy="3657600"/>
            <wp:effectExtent l="0" t="0" r="0" b="0"/>
            <wp:docPr id="52" name="C:/Users/Marc/AppData/Local/Temp/RtmpcNyqz5/file5044171094e/plot001.png" descr="image"/>
            <wp:cNvGraphicFramePr>
              <a:graphicFrameLocks noChangeAspect="true"/>
            </wp:cNvGraphicFramePr>
            <a:graphic>
              <a:graphicData uri="http://schemas.openxmlformats.org/drawingml/2006/picture">
                <pic:pic>
                  <pic:nvPicPr>
                    <pic:cNvPr id="53" name="C:/Users/Marc/AppData/Local/Temp/RtmpcNyqz5/file5044171094e/plot001.png"/>
                    <pic:cNvPicPr/>
                  </pic:nvPicPr>
                  <pic:blipFill>
                    <a:blip r:embed="rId12"/>
                    <a:stretch>
                      <a:fillRect/>
                    </a:stretch>
                  </pic:blipFill>
                  <pic:spPr>
                    <a:xfrm rot="0">
                      <a:off x="-1" y="-1"/>
                      <a:ext cx="5943600" cy="3657600"/>
                    </a:xfrm>
                    <a:prstGeom prst="rect">
                      <a:avLst/>
                    </a:prstGeom>
                  </pic:spPr>
                </pic:pic>
              </a:graphicData>
            </a:graphic>
          </wp:inline>
        </w:drawing>
      </w:r>
    </w:p>
    <w:p>
      <w:pPr>
        <w:pBdr/>
        <w:spacing w:before="100" w:after="100"/>
        <w:ind w:left="100" w:right="100"/>
        <w:jc w:val="center"/>
      </w:pPr>
      <w:r/>
      <w:r>
        <w:drawing>
          <wp:inline distT="0" distB="0" distL="0" distR="0">
            <wp:extent cx="5943600" cy="3657600"/>
            <wp:effectExtent l="0" t="0" r="0" b="0"/>
            <wp:docPr id="55" name="C:/Users/Marc/AppData/Local/Temp/RtmpcNyqz5/file50441ef87c28/plot001.png" descr="image"/>
            <wp:cNvGraphicFramePr>
              <a:graphicFrameLocks noChangeAspect="true"/>
            </wp:cNvGraphicFramePr>
            <a:graphic>
              <a:graphicData uri="http://schemas.openxmlformats.org/drawingml/2006/picture">
                <pic:pic>
                  <pic:nvPicPr>
                    <pic:cNvPr id="56" name="C:/Users/Marc/AppData/Local/Temp/RtmpcNyqz5/file50441ef87c28/plot001.png"/>
                    <pic:cNvPicPr/>
                  </pic:nvPicPr>
                  <pic:blipFill>
                    <a:blip r:embed="rId13"/>
                    <a:stretch>
                      <a:fillRect/>
                    </a:stretch>
                  </pic:blipFill>
                  <pic:spPr>
                    <a:xfrm rot="0">
                      <a:off x="-1" y="-1"/>
                      <a:ext cx="5943600" cy="3657600"/>
                    </a:xfrm>
                    <a:prstGeom prst="rect">
                      <a:avLst/>
                    </a:prstGeom>
                  </pic:spPr>
                </pic:pic>
              </a:graphicData>
            </a:graphic>
          </wp:inline>
        </w:drawing>
      </w:r>
    </w:p>
    <w:p>
      <w:pPr>
        <w:pBdr/>
        <w:spacing w:before="20" w:after="20"/>
        <w:ind w:left="20" w:right="20"/>
        <w:jc w:val="left"/>
      </w:pPr>
      <w:r>
        <w:rPr>
          <w:rFonts w:ascii="Times New Roman" w:hAnsi="Times New Roman" w:cs="Times New Roman"/>
          <w:color w:val="000000"/>
          <w:sz w:val="22"/>
        </w:rPr>
        <w:t xml:space="preserve"/>
      </w:r>
    </w:p>
    <w:p>
      <w:pPr>
        <w:pBdr/>
        <w:spacing w:before="20" w:after="20"/>
        <w:ind w:left="20" w:right="20"/>
        <w:jc w:val="left"/>
      </w:pPr>
      <w:r>
        <w:rPr>
          <w:rFonts w:ascii="Times New Roman" w:hAnsi="Times New Roman" w:cs="Times New Roman"/>
          <w:color w:val="000000"/>
          <w:sz w:val="22"/>
        </w:rPr>
        <w:t xml:space="preserve"/>
      </w:r>
    </w:p>
    <w:p>
      <w:pPr>
        <w:pBdr/>
        <w:spacing w:before="100" w:after="100"/>
        <w:ind w:left="100" w:right="100"/>
        <w:jc w:val="center"/>
      </w:pPr>
      <w:r/>
      <w:r>
        <w:drawing>
          <wp:inline distT="0" distB="0" distL="0" distR="0">
            <wp:extent cx="5943600" cy="3657600"/>
            <wp:effectExtent l="0" t="0" r="0" b="0"/>
            <wp:docPr id="60" name="C:/Users/Marc/AppData/Local/Temp/RtmpcNyqz5/file50443bbc8b0/plot001.png" descr="image"/>
            <wp:cNvGraphicFramePr>
              <a:graphicFrameLocks noChangeAspect="true"/>
            </wp:cNvGraphicFramePr>
            <a:graphic>
              <a:graphicData uri="http://schemas.openxmlformats.org/drawingml/2006/picture">
                <pic:pic>
                  <pic:nvPicPr>
                    <pic:cNvPr id="61" name="C:/Users/Marc/AppData/Local/Temp/RtmpcNyqz5/file50443bbc8b0/plot001.png"/>
                    <pic:cNvPicPr/>
                  </pic:nvPicPr>
                  <pic:blipFill>
                    <a:blip r:embed="rId14"/>
                    <a:stretch>
                      <a:fillRect/>
                    </a:stretch>
                  </pic:blipFill>
                  <pic:spPr>
                    <a:xfrm rot="0">
                      <a:off x="-1" y="-1"/>
                      <a:ext cx="5943600" cy="3657600"/>
                    </a:xfrm>
                    <a:prstGeom prst="rect">
                      <a:avLst/>
                    </a:prstGeom>
                  </pic:spPr>
                </pic:pic>
              </a:graphicData>
            </a:graphic>
          </wp:inline>
        </w:drawing>
      </w:r>
    </w:p>
    <w:p>
      <w:pPr>
        <w:pBdr/>
        <w:spacing w:before="100" w:after="100"/>
        <w:ind w:left="100" w:right="100"/>
        <w:jc w:val="center"/>
      </w:pPr>
      <w:r/>
      <w:r>
        <w:drawing>
          <wp:inline distT="0" distB="0" distL="0" distR="0">
            <wp:extent cx="5943600" cy="3657600"/>
            <wp:effectExtent l="0" t="0" r="0" b="0"/>
            <wp:docPr id="63" name="C:/Users/Marc/AppData/Local/Temp/RtmpcNyqz5/file504461725df2/plot001.png" descr="image"/>
            <wp:cNvGraphicFramePr>
              <a:graphicFrameLocks noChangeAspect="true"/>
            </wp:cNvGraphicFramePr>
            <a:graphic>
              <a:graphicData uri="http://schemas.openxmlformats.org/drawingml/2006/picture">
                <pic:pic>
                  <pic:nvPicPr>
                    <pic:cNvPr id="64" name="C:/Users/Marc/AppData/Local/Temp/RtmpcNyqz5/file504461725df2/plot001.png"/>
                    <pic:cNvPicPr/>
                  </pic:nvPicPr>
                  <pic:blipFill>
                    <a:blip r:embed="rId15"/>
                    <a:stretch>
                      <a:fillRect/>
                    </a:stretch>
                  </pic:blipFill>
                  <pic:spPr>
                    <a:xfrm rot="0">
                      <a:off x="-1" y="-1"/>
                      <a:ext cx="5943600" cy="3657600"/>
                    </a:xfrm>
                    <a:prstGeom prst="rect">
                      <a:avLst/>
                    </a:prstGeom>
                  </pic:spPr>
                </pic:pic>
              </a:graphicData>
            </a:graphic>
          </wp:inline>
        </w:drawing>
      </w:r>
    </w:p>
    <w:p>
      <w:pPr>
        <w:pBdr/>
        <w:spacing w:before="20" w:after="20"/>
        <w:ind w:left="20" w:right="20"/>
        <w:jc w:val="left"/>
      </w:pPr>
      <w:r>
        <w:rPr>
          <w:rFonts w:ascii="Times New Roman" w:hAnsi="Times New Roman" w:cs="Times New Roman"/>
          <w:color w:val="000000"/>
          <w:sz w:val="22"/>
        </w:rPr>
        <w:t xml:space="preserve"/>
      </w:r>
    </w:p>
    <w:p>
      <w:pPr>
        <w:pBdr/>
        <w:spacing w:before="20" w:after="20"/>
        <w:ind w:left="20" w:right="20"/>
        <w:jc w:val="left"/>
      </w:pPr>
      <w:r>
        <w:rPr>
          <w:rFonts w:ascii="Times New Roman" w:hAnsi="Times New Roman" w:cs="Times New Roman"/>
          <w:color w:val="000000"/>
          <w:sz w:val="22"/>
        </w:rPr>
        <w:t xml:space="preserve"/>
      </w:r>
    </w:p>
    <w:p>
      <w:pPr>
        <w:pBdr/>
        <w:spacing w:before="100" w:after="100"/>
        <w:ind w:left="100" w:right="100"/>
        <w:jc w:val="center"/>
      </w:pPr>
      <w:r/>
      <w:r>
        <w:drawing>
          <wp:inline distT="0" distB="0" distL="0" distR="0">
            <wp:extent cx="5943600" cy="3657600"/>
            <wp:effectExtent l="0" t="0" r="0" b="0"/>
            <wp:docPr id="68" name="C:/Users/Marc/AppData/Local/Temp/RtmpcNyqz5/file504413113f5/plot001.png" descr="image"/>
            <wp:cNvGraphicFramePr>
              <a:graphicFrameLocks noChangeAspect="true"/>
            </wp:cNvGraphicFramePr>
            <a:graphic>
              <a:graphicData uri="http://schemas.openxmlformats.org/drawingml/2006/picture">
                <pic:pic>
                  <pic:nvPicPr>
                    <pic:cNvPr id="69" name="C:/Users/Marc/AppData/Local/Temp/RtmpcNyqz5/file504413113f5/plot001.png"/>
                    <pic:cNvPicPr/>
                  </pic:nvPicPr>
                  <pic:blipFill>
                    <a:blip r:embed="rId16"/>
                    <a:stretch>
                      <a:fillRect/>
                    </a:stretch>
                  </pic:blipFill>
                  <pic:spPr>
                    <a:xfrm rot="0">
                      <a:off x="-1" y="-1"/>
                      <a:ext cx="5943600" cy="3657600"/>
                    </a:xfrm>
                    <a:prstGeom prst="rect">
                      <a:avLst/>
                    </a:prstGeom>
                  </pic:spPr>
                </pic:pic>
              </a:graphicData>
            </a:graphic>
          </wp:inline>
        </w:drawing>
      </w:r>
    </w:p>
    <w:p>
      <w:pPr>
        <w:pBdr/>
        <w:spacing w:before="100" w:after="100"/>
        <w:ind w:left="100" w:right="100"/>
        <w:jc w:val="center"/>
      </w:pPr>
      <w:r/>
      <w:r>
        <w:drawing>
          <wp:inline distT="0" distB="0" distL="0" distR="0">
            <wp:extent cx="5943600" cy="3657600"/>
            <wp:effectExtent l="0" t="0" r="0" b="0"/>
            <wp:docPr id="71" name="C:/Users/Marc/AppData/Local/Temp/RtmpcNyqz5/file504469e348bf/plot001.png" descr="image"/>
            <wp:cNvGraphicFramePr>
              <a:graphicFrameLocks noChangeAspect="true"/>
            </wp:cNvGraphicFramePr>
            <a:graphic>
              <a:graphicData uri="http://schemas.openxmlformats.org/drawingml/2006/picture">
                <pic:pic>
                  <pic:nvPicPr>
                    <pic:cNvPr id="72" name="C:/Users/Marc/AppData/Local/Temp/RtmpcNyqz5/file504469e348bf/plot001.png"/>
                    <pic:cNvPicPr/>
                  </pic:nvPicPr>
                  <pic:blipFill>
                    <a:blip r:embed="rId17"/>
                    <a:stretch>
                      <a:fillRect/>
                    </a:stretch>
                  </pic:blipFill>
                  <pic:spPr>
                    <a:xfrm rot="0">
                      <a:off x="-1" y="-1"/>
                      <a:ext cx="5943600" cy="3657600"/>
                    </a:xfrm>
                    <a:prstGeom prst="rect">
                      <a:avLst/>
                    </a:prstGeom>
                  </pic:spPr>
                </pic:pic>
              </a:graphicData>
            </a:graphic>
          </wp:inline>
        </w:drawing>
      </w:r>
    </w:p>
    <w:p>
      <w:pPr>
        <w:pBdr/>
        <w:spacing w:before="20" w:after="20"/>
        <w:ind w:left="20" w:right="20"/>
        <w:jc w:val="left"/>
      </w:pPr>
      <w:r>
        <w:rPr>
          <w:rFonts w:ascii="Times New Roman" w:hAnsi="Times New Roman" w:cs="Times New Roman"/>
          <w:color w:val="000000"/>
          <w:sz w:val="22"/>
        </w:rPr>
        <w:t xml:space="preserve"/>
      </w:r>
    </w:p>
    <w:p>
      <w:pPr>
        <w:pBdr/>
        <w:spacing w:before="20" w:after="20"/>
        <w:ind w:left="20" w:right="20"/>
        <w:jc w:val="left"/>
      </w:pPr>
      <w:r>
        <w:rPr>
          <w:rFonts w:ascii="Times New Roman" w:hAnsi="Times New Roman" w:cs="Times New Roman"/>
          <w:color w:val="000000"/>
          <w:sz w:val="22"/>
        </w:rPr>
        <w:t xml:space="preserve"/>
      </w:r>
    </w:p>
    <w:p>
      <w:pPr>
        <w:pBdr/>
        <w:spacing w:before="100" w:after="100"/>
        <w:ind w:left="100" w:right="100"/>
        <w:jc w:val="center"/>
      </w:pPr>
      <w:r/>
      <w:r>
        <w:drawing>
          <wp:inline distT="0" distB="0" distL="0" distR="0">
            <wp:extent cx="5943600" cy="3657600"/>
            <wp:effectExtent l="0" t="0" r="0" b="0"/>
            <wp:docPr id="76" name="C:/Users/Marc/AppData/Local/Temp/RtmpcNyqz5/file50445ddd3e60/plot001.png" descr="image"/>
            <wp:cNvGraphicFramePr>
              <a:graphicFrameLocks noChangeAspect="true"/>
            </wp:cNvGraphicFramePr>
            <a:graphic>
              <a:graphicData uri="http://schemas.openxmlformats.org/drawingml/2006/picture">
                <pic:pic>
                  <pic:nvPicPr>
                    <pic:cNvPr id="77" name="C:/Users/Marc/AppData/Local/Temp/RtmpcNyqz5/file50445ddd3e60/plot001.png"/>
                    <pic:cNvPicPr/>
                  </pic:nvPicPr>
                  <pic:blipFill>
                    <a:blip r:embed="rId18"/>
                    <a:stretch>
                      <a:fillRect/>
                    </a:stretch>
                  </pic:blipFill>
                  <pic:spPr>
                    <a:xfrm rot="0">
                      <a:off x="-1" y="-1"/>
                      <a:ext cx="5943600" cy="3657600"/>
                    </a:xfrm>
                    <a:prstGeom prst="rect">
                      <a:avLst/>
                    </a:prstGeom>
                  </pic:spPr>
                </pic:pic>
              </a:graphicData>
            </a:graphic>
          </wp:inline>
        </w:drawing>
      </w:r>
    </w:p>
    <w:p>
      <w:br w:type="page"/>
    </w:p>
    <w:p>
      <w:pPr>
        <w:pStyle w:val="Heading1"/>
      </w:pPr>
      <w:r>
        <w:t>Exploratory Analyses: Publications Relative to Population Size</w:t>
      </w:r>
    </w:p>
    <w:p>
      <w:pPr>
        <w:pStyle w:val="Heading2"/>
      </w:pPr>
      <w:r>
        <w:t>Methodology</w:t>
      </w:r>
    </w:p>
    <w:p>
      <w:pPr>
        <w:numPr>
          <w:ilvl w:val="0"/>
          <w:numId w:val="14"/>
        </w:numPr>
        <w:pBdr/>
        <w:spacing w:before="20" w:after="20"/>
        <w:jc w:val="left"/>
      </w:pPr>
      <w:r>
        <w:rPr>
          <w:rFonts w:ascii="Times New Roman" w:hAnsi="Times New Roman" w:cs="Times New Roman"/>
          <w:color w:val="000000"/>
          <w:sz w:val="22"/>
        </w:rPr>
        <w:t xml:space="preserve">Publication counts were plotted against tumor types</w:t>
      </w:r>
    </w:p>
    <w:p>
      <w:pPr>
        <w:numPr>
          <w:ilvl w:val="0"/>
          <w:numId w:val="14"/>
        </w:numPr>
        <w:pBdr/>
        <w:spacing w:before="20" w:after="20"/>
        <w:jc w:val="left"/>
      </w:pPr>
      <w:r>
        <w:rPr>
          <w:rFonts w:ascii="Times New Roman" w:hAnsi="Times New Roman" w:cs="Times New Roman"/>
          <w:color w:val="000000"/>
          <w:sz w:val="22"/>
        </w:rPr>
        <w:t xml:space="preserve">Counts of incident and prevalent patients, as well as deaths from cancer, were taken from SEER published estimates</w:t>
      </w:r>
    </w:p>
    <w:p>
      <w:pPr>
        <w:numPr>
          <w:ilvl w:val="0"/>
          <w:numId w:val="14"/>
        </w:numPr>
        <w:pBdr/>
        <w:spacing w:before="20" w:after="20"/>
        <w:jc w:val="left"/>
      </w:pPr>
      <w:r>
        <w:rPr>
          <w:rFonts w:ascii="Times New Roman" w:hAnsi="Times New Roman" w:cs="Times New Roman"/>
          <w:color w:val="000000"/>
          <w:sz w:val="22"/>
        </w:rPr>
        <w:t xml:space="preserve">Ratios of publications to these patient counts were estimated</w:t>
      </w:r>
    </w:p>
    <w:p>
      <w:pPr>
        <w:numPr>
          <w:ilvl w:val="1"/>
          <w:numId w:val="14"/>
        </w:numPr>
        <w:pBdr/>
        <w:spacing w:before="20" w:after="20"/>
        <w:jc w:val="left"/>
      </w:pPr>
      <w:r>
        <w:rPr>
          <w:rFonts w:ascii="Times New Roman" w:hAnsi="Times New Roman" w:cs="Times New Roman"/>
          <w:color w:val="000000"/>
          <w:sz w:val="22"/>
        </w:rPr>
        <w:t xml:space="preserve">Publications divided by incidence (per 1,000 patients)</w:t>
      </w:r>
    </w:p>
    <w:p>
      <w:pPr>
        <w:numPr>
          <w:ilvl w:val="1"/>
          <w:numId w:val="14"/>
        </w:numPr>
        <w:pBdr/>
        <w:spacing w:before="20" w:after="20"/>
        <w:jc w:val="left"/>
      </w:pPr>
      <w:r>
        <w:rPr>
          <w:rFonts w:ascii="Times New Roman" w:hAnsi="Times New Roman" w:cs="Times New Roman"/>
          <w:color w:val="000000"/>
          <w:sz w:val="22"/>
        </w:rPr>
        <w:t xml:space="preserve">Publications divided by prevalence (per 10,000 patients)</w:t>
      </w:r>
    </w:p>
    <w:p>
      <w:pPr>
        <w:numPr>
          <w:ilvl w:val="1"/>
          <w:numId w:val="14"/>
        </w:numPr>
        <w:pBdr/>
        <w:spacing w:before="20" w:after="20"/>
        <w:jc w:val="left"/>
      </w:pPr>
      <w:r>
        <w:rPr>
          <w:rFonts w:ascii="Times New Roman" w:hAnsi="Times New Roman" w:cs="Times New Roman"/>
          <w:color w:val="000000"/>
          <w:sz w:val="22"/>
        </w:rPr>
        <w:t xml:space="preserve">Publications divided by deaths (per 1,000 patients)</w:t>
      </w:r>
    </w:p>
    <w:p>
      <w:pPr>
        <w:numPr>
          <w:ilvl w:val="1"/>
          <w:numId w:val="14"/>
        </w:numPr>
        <w:pBdr/>
        <w:spacing w:before="20" w:after="20"/>
        <w:jc w:val="left"/>
      </w:pPr>
      <w:r>
        <w:rPr>
          <w:rFonts w:ascii="Times New Roman" w:hAnsi="Times New Roman" w:cs="Times New Roman"/>
          <w:color w:val="000000"/>
          <w:sz w:val="22"/>
        </w:rPr>
        <w:t xml:space="preserve">Higher numbers reflect more publications per patient</w:t>
      </w:r>
    </w:p>
    <w:p>
      <w:pPr>
        <w:numPr>
          <w:ilvl w:val="1"/>
          <w:numId w:val="14"/>
        </w:numPr>
        <w:pBdr/>
        <w:spacing w:before="20" w:after="20"/>
        <w:jc w:val="left"/>
      </w:pPr>
      <w:r>
        <w:rPr>
          <w:rFonts w:ascii="Times New Roman" w:hAnsi="Times New Roman" w:cs="Times New Roman"/>
          <w:color w:val="000000"/>
          <w:sz w:val="22"/>
        </w:rPr>
        <w:t xml:space="preserve">The median publication ratio across all tumors was used as an index for establishing high versus low ratios</w:t>
      </w:r>
    </w:p>
    <w:p>
      <w:pPr>
        <w:pBdr/>
        <w:spacing w:before="100" w:after="100"/>
        <w:ind w:left="100" w:right="100"/>
        <w:jc w:val="center"/>
      </w:pPr>
      <w:r/>
      <w:r>
        <w:drawing>
          <wp:inline distT="0" distB="0" distL="0" distR="0">
            <wp:extent cx="5943600" cy="3657600"/>
            <wp:effectExtent l="0" t="0" r="0" b="0"/>
            <wp:docPr id="90" name="C:/Users/Marc/AppData/Local/Temp/RtmpcNyqz5/file50447d951a7a/plot001.png" descr="image"/>
            <wp:cNvGraphicFramePr>
              <a:graphicFrameLocks noChangeAspect="true"/>
            </wp:cNvGraphicFramePr>
            <a:graphic>
              <a:graphicData uri="http://schemas.openxmlformats.org/drawingml/2006/picture">
                <pic:pic>
                  <pic:nvPicPr>
                    <pic:cNvPr id="91" name="C:/Users/Marc/AppData/Local/Temp/RtmpcNyqz5/file50447d951a7a/plot001.png"/>
                    <pic:cNvPicPr/>
                  </pic:nvPicPr>
                  <pic:blipFill>
                    <a:blip r:embed="rId19"/>
                    <a:stretch>
                      <a:fillRect/>
                    </a:stretch>
                  </pic:blipFill>
                  <pic:spPr>
                    <a:xfrm rot="0">
                      <a:off x="-1" y="-1"/>
                      <a:ext cx="5943600" cy="3657600"/>
                    </a:xfrm>
                    <a:prstGeom prst="rect">
                      <a:avLst/>
                    </a:prstGeom>
                  </pic:spPr>
                </pic:pic>
              </a:graphicData>
            </a:graphic>
          </wp:inline>
        </w:drawing>
      </w:r>
    </w:p>
    <w:p>
      <w:pPr>
        <w:pBdr/>
        <w:spacing w:before="100" w:after="100"/>
        <w:ind w:left="100" w:right="100"/>
        <w:jc w:val="center"/>
      </w:pPr>
      <w:r/>
      <w:r>
        <w:drawing>
          <wp:inline distT="0" distB="0" distL="0" distR="0">
            <wp:extent cx="5943600" cy="3657600"/>
            <wp:effectExtent l="0" t="0" r="0" b="0"/>
            <wp:docPr id="93" name="C:/Users/Marc/AppData/Local/Temp/RtmpcNyqz5/file50447addae0/plot001.png" descr="image"/>
            <wp:cNvGraphicFramePr>
              <a:graphicFrameLocks noChangeAspect="true"/>
            </wp:cNvGraphicFramePr>
            <a:graphic>
              <a:graphicData uri="http://schemas.openxmlformats.org/drawingml/2006/picture">
                <pic:pic>
                  <pic:nvPicPr>
                    <pic:cNvPr id="94" name="C:/Users/Marc/AppData/Local/Temp/RtmpcNyqz5/file50447addae0/plot001.png"/>
                    <pic:cNvPicPr/>
                  </pic:nvPicPr>
                  <pic:blipFill>
                    <a:blip r:embed="rId20"/>
                    <a:stretch>
                      <a:fillRect/>
                    </a:stretch>
                  </pic:blipFill>
                  <pic:spPr>
                    <a:xfrm rot="0">
                      <a:off x="-1" y="-1"/>
                      <a:ext cx="5943600" cy="3657600"/>
                    </a:xfrm>
                    <a:prstGeom prst="rect">
                      <a:avLst/>
                    </a:prstGeom>
                  </pic:spPr>
                </pic:pic>
              </a:graphicData>
            </a:graphic>
          </wp:inline>
        </w:drawing>
      </w:r>
    </w:p>
    <w:p>
      <w:pPr>
        <w:pBdr/>
        <w:spacing w:before="100" w:after="100"/>
        <w:ind w:left="100" w:right="100"/>
        <w:jc w:val="center"/>
      </w:pPr>
      <w:r/>
      <w:r>
        <w:drawing>
          <wp:inline distT="0" distB="0" distL="0" distR="0">
            <wp:extent cx="5943600" cy="3657600"/>
            <wp:effectExtent l="0" t="0" r="0" b="0"/>
            <wp:docPr id="96" name="C:/Users/Marc/AppData/Local/Temp/RtmpcNyqz5/file50445956703a/plot001.png" descr="image"/>
            <wp:cNvGraphicFramePr>
              <a:graphicFrameLocks noChangeAspect="true"/>
            </wp:cNvGraphicFramePr>
            <a:graphic>
              <a:graphicData uri="http://schemas.openxmlformats.org/drawingml/2006/picture">
                <pic:pic>
                  <pic:nvPicPr>
                    <pic:cNvPr id="97" name="C:/Users/Marc/AppData/Local/Temp/RtmpcNyqz5/file50445956703a/plot001.png"/>
                    <pic:cNvPicPr/>
                  </pic:nvPicPr>
                  <pic:blipFill>
                    <a:blip r:embed="rId21"/>
                    <a:stretch>
                      <a:fillRect/>
                    </a:stretch>
                  </pic:blipFill>
                  <pic:spPr>
                    <a:xfrm rot="0">
                      <a:off x="-1" y="-1"/>
                      <a:ext cx="5943600" cy="3657600"/>
                    </a:xfrm>
                    <a:prstGeom prst="rect">
                      <a:avLst/>
                    </a:prstGeom>
                  </pic:spPr>
                </pic:pic>
              </a:graphicData>
            </a:graphic>
          </wp:inline>
        </w:drawing>
      </w:r>
    </w:p>
    <w:p>
      <w:pPr>
        <w:sectPr w:rsidRPr="006536A5" w:rsidR="006536A5" w:rsidSect="00C36E4B">
          <w:type w:val="continuous"/>
          <w:pgSz w:w="12240" w:h="15840"/>
          <w:pgMar w:top="1008" w:right="1440" w:bottom="720" w:left="1440" w:header="720" w:footer="720" w:gutter="0"/>
          <w:cols w:space="720"/>
          <w:docGrid w:linePitch="360"/>
        </w:sectPr>
      </w:pPr>
    </w:p>
    <w:tbl>
      <w:tblPr>
        <w:jc w:val="center"/>
        <w:tblLayout w:type="autofit"/>
      </w:tblPr>
      <w:tblGrid/>
      <w:tr>
        <w:trPr>
          <w:tblHeader/>
        </w:trPr>
        <w:tc>
          <w:tcPr>
            <w:gridSpan w:val="20"/>
            <w:shd w:fill="FFFFFF"/>
            <w:tcMar>
              <w:bottom w:w="240" w:type="dxa"/>
            </w:tcMar>
            <w:vAlign w:val="center"/>
          </w:tcPr>
          <w:p>
            <w:pPr>
              <w:pBdr/>
              <w:spacing w:before="20" w:after="20"/>
              <w:ind w:left="20" w:right="20"/>
              <w:jc w:val="center"/>
            </w:pPr>
            <w:r>
              <w:rPr>
                <w:rFonts w:ascii="Times New Roman" w:hAnsi="Times New Roman" w:cs="Times New Roman"/>
                <w:b w:val="true"/>
                <w:color w:val="000000"/>
                <w:sz w:val="24"/>
              </w:rPr>
              <w:t xml:space="preserve">Publications per patient according to incidence, prevalence, and deaths</w:t>
            </w:r>
          </w:p>
        </w:tc>
      </w:tr>
      <w:tr>
        <w:trPr>
          <w:trHeight w:val="2700" w:hRule="atLeast"/>
          <w:tblHeader/>
        </w:trPr>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 </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Breast</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Prostate</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Colorectal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Lung</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Urinary Bladder</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Pancreas</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Renal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Lymphoma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Ovary</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Liver</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Esophagus</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Leukemia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Corpus Uteri</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Gastric</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Brain &amp; Other Nervous System</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Cervical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Multiple Myeloma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Skin</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Testis</w:t>
            </w:r>
          </w:p>
        </w:tc>
      </w:tr>
      <w:tr>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Total</w:t>
            </w:r>
            <w:r>
              <w:rPr>
                <w:rFonts w:ascii="Times New Roman" w:hAnsi="Times New Roman" w:cs="Times New Roman"/>
                <w:color w:val="000000"/>
                <w:sz w:val="20"/>
              </w:rPr>
              <w:br/>
              <w:t xml:space="preserve">Publications</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512</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466</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415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325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93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93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81</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71</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59</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28</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 incident patients age 65 years</w:t>
            </w:r>
            <w:r>
              <w:rPr>
                <w:rFonts w:ascii="Times New Roman" w:hAnsi="Times New Roman" w:cs="Times New Roman"/>
                <w:color w:val="000000"/>
                <w:sz w:val="20"/>
              </w:rPr>
              <w:br/>
              <w:t xml:space="preserve">or older (2013-2017)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w:t>
            </w:r>
          </w:p>
        </w:tc>
      </w:tr>
      <w:tr>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Pub/incidence ratio</w:t>
            </w:r>
            <w:r>
              <w:rPr>
                <w:rFonts w:ascii="Times New Roman" w:hAnsi="Times New Roman" w:cs="Times New Roman"/>
                <w:color w:val="000000"/>
                <w:sz w:val="20"/>
              </w:rPr>
              <w:br/>
              <w:t xml:space="preserve"> per 1,000 (2020)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1.9</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2.8</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1.9</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3.9</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0.2</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Pub/prevalence ratio</w:t>
            </w:r>
            <w:r>
              <w:rPr>
                <w:rFonts w:ascii="Times New Roman" w:hAnsi="Times New Roman" w:cs="Times New Roman"/>
                <w:color w:val="000000"/>
                <w:sz w:val="20"/>
              </w:rPr>
              <w:br/>
              <w:t xml:space="preserve"> per 10,000 (2020)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9.0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2.2</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r>
      <w:tr>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Pub/deaths ratio</w:t>
            </w:r>
            <w:r>
              <w:rPr>
                <w:rFonts w:ascii="Times New Roman" w:hAnsi="Times New Roman" w:cs="Times New Roman"/>
                <w:color w:val="000000"/>
                <w:sz w:val="20"/>
              </w:rPr>
              <w:br/>
              <w:t xml:space="preserve"> per 1,000 (2020)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12.1</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14.0</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7.8</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7.6</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2.7</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3.4</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3.9</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2.1</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6.5</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1.2</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2.3</w:t>
            </w:r>
          </w:p>
        </w:tc>
        <w:tc>
          <w:tcPr>
            <w:tcBorders>
              <w:top w:val="single" w:color="#000000" w:sz="4"/>
              <w:left w:val="single" w:color="#000000" w:sz="4"/>
              <w:bottom w:val="single" w:color="#000000" w:sz="4"/>
              <w:right w:val="single" w:color="#000000" w:sz="4"/>
            </w:tcBorders>
            <w:shd w:fill="B0C4DE"/>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29.5</w:t>
            </w:r>
          </w:p>
        </w:tc>
      </w:tr>
      <w:tr>
        <w:tc>
          <w:tcPr>
            <w:gridSpan w:val="20"/>
            <w:shd w:fill="FFFFFF"/>
            <w:tcMar>
              <w:top w:w="120" w:type="dxa"/>
            </w:tcMar>
            <w:vAlign w:val="center"/>
          </w:tcPr>
          <w:p>
            <w:pPr>
              <w:pBdr/>
              <w:spacing w:before="20" w:after="20"/>
              <w:ind w:left="20" w:right="20"/>
              <w:jc w:val="left"/>
            </w:pPr>
            <w:r>
              <w:rPr>
                <w:rFonts w:ascii="Times New Roman" w:hAnsi="Times New Roman" w:cs="Times New Roman"/>
                <w:color w:val="000000"/>
                <w:sz w:val="20"/>
              </w:rPr>
              <w:t xml:space="preserve">Notes: Higher numbers indicate more publications per patient (see next table for comparisons to the median ratios)</w:t>
            </w:r>
          </w:p>
        </w:tc>
      </w:tr>
    </w:tbl>
    <w:p>
      <w:br w:type="page"/>
    </w:p>
    <w:tbl>
      <w:tblPr>
        <w:jc w:val="center"/>
        <w:tblLayout w:type="autofit"/>
      </w:tblPr>
      <w:tblGrid/>
      <w:tr>
        <w:trPr>
          <w:tblHeader/>
        </w:trPr>
        <w:tc>
          <w:tcPr>
            <w:gridSpan w:val="20"/>
            <w:shd w:fill="FFFFFF"/>
            <w:tcMar>
              <w:bottom w:w="240" w:type="dxa"/>
            </w:tcMar>
            <w:vAlign w:val="center"/>
          </w:tcPr>
          <w:p>
            <w:pPr>
              <w:pBdr/>
              <w:spacing w:before="20" w:after="20"/>
              <w:ind w:left="20" w:right="20"/>
              <w:jc w:val="center"/>
            </w:pPr>
            <w:r>
              <w:rPr>
                <w:rFonts w:ascii="Times New Roman" w:hAnsi="Times New Roman" w:cs="Times New Roman"/>
                <w:b w:val="true"/>
                <w:color w:val="000000"/>
                <w:sz w:val="24"/>
              </w:rPr>
              <w:t xml:space="preserve">Publications per patient according to incidence, prevalence, and deaths, standardized to the median ratio</w:t>
            </w:r>
          </w:p>
        </w:tc>
      </w:tr>
      <w:tr>
        <w:trPr>
          <w:trHeight w:val="2700" w:hRule="atLeast"/>
          <w:tblHeader/>
        </w:trPr>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 </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Breast</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Prostate</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Colorectal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Lung</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Urinary Bladder</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Pancreas</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Renal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Lymphoma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Ovary</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Liver</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Esophagus</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Leukemia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Corpus Uteri</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Gastric</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Brain &amp; Other Nervous System</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Cervical</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Multiple Myeloma</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Skin</w:t>
            </w:r>
          </w:p>
        </w:tc>
        <w:tc>
          <w:tcPr>
            <w:tcBorders>
              <w:top w:val="single" w:color="#000000" w:sz="4"/>
              <w:left w:val="single" w:color="#000000" w:sz="4"/>
              <w:bottom w:val="single" w:color="#000000" w:sz="4"/>
              <w:right w:val="single" w:color="#000000" w:sz="4"/>
            </w:tcBorders>
            <w:shd w:fill="36648B"/>
            <w:textDirection w:val="btLr"/>
            <w:vAlign w:val="center"/>
          </w:tcPr>
          <w:p>
            <w:pPr>
              <w:pBdr/>
              <w:spacing w:before="20" w:after="20"/>
              <w:ind w:left="20" w:right="20"/>
              <w:jc w:val="center"/>
            </w:pPr>
            <w:r>
              <w:rPr>
                <w:rFonts w:ascii="Times New Roman" w:hAnsi="Times New Roman" w:cs="Times New Roman"/>
                <w:color w:val="FFFFFF"/>
                <w:sz w:val="20"/>
              </w:rPr>
              <w:t xml:space="preserve">Testis</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Total</w:t>
            </w:r>
            <w:r>
              <w:rPr>
                <w:rFonts w:ascii="Times New Roman" w:hAnsi="Times New Roman" w:cs="Times New Roman"/>
                <w:color w:val="000000"/>
                <w:sz w:val="20"/>
              </w:rPr>
              <w:br/>
              <w:t xml:space="preserve">Publications</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512</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466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415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325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93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93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81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 incident patients age 65 years</w:t>
            </w:r>
            <w:r>
              <w:rPr>
                <w:rFonts w:ascii="Times New Roman" w:hAnsi="Times New Roman" w:cs="Times New Roman"/>
                <w:color w:val="000000"/>
                <w:sz w:val="20"/>
              </w:rPr>
              <w:br/>
              <w:t xml:space="preserve">or older (2013-2017)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51%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Pub/incidence ratio</w:t>
            </w:r>
            <w:r>
              <w:rPr>
                <w:rFonts w:ascii="Times New Roman" w:hAnsi="Times New Roman" w:cs="Times New Roman"/>
                <w:color w:val="000000"/>
                <w:sz w:val="20"/>
              </w:rPr>
              <w:br/>
              <w:t xml:space="preserve"> per 1,000 (2020)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1.2</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1.8</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1.2</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2.5</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1.3</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0.1</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0.9</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Pub/prevalence ratio</w:t>
            </w:r>
            <w:r>
              <w:rPr>
                <w:rFonts w:ascii="Times New Roman" w:hAnsi="Times New Roman" w:cs="Times New Roman"/>
                <w:color w:val="000000"/>
                <w:sz w:val="20"/>
              </w:rPr>
              <w:br/>
              <w:t xml:space="preserve"> per 10,000 (2020)</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0.7</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7.4</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2.1</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4.7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7.7</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0.4</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1.9</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1.1</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0.6</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0.1</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r>
      <w:tr>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Pub/deaths ratio</w:t>
            </w:r>
            <w:r>
              <w:rPr>
                <w:rFonts w:ascii="Times New Roman" w:hAnsi="Times New Roman" w:cs="Times New Roman"/>
                <w:color w:val="000000"/>
                <w:sz w:val="20"/>
              </w:rPr>
              <w:br/>
              <w:t xml:space="preserve"> per 1,000 (2020)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2.8</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3.2</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1.8</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1.7</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1.7</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1.5</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0.6</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1.0</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0.8</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0.9</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1.5</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0.3</w:t>
            </w:r>
          </w:p>
        </w:tc>
        <w:tc>
          <w:tcPr>
            <w:tcBorders>
              <w:top w:val="single" w:color="#000000" w:sz="4"/>
              <w:left w:val="single" w:color="#000000" w:sz="4"/>
              <w:bottom w:val="single" w:color="#000000" w:sz="4"/>
              <w:right w:val="single" w:color="#000000" w:sz="4"/>
            </w:tcBorders>
            <w:shd w:fill="F4A460"/>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0.5</w:t>
            </w:r>
          </w:p>
        </w:tc>
        <w:tc>
          <w:tcPr>
            <w:tcBorders>
              <w:top w:val="single" w:color="#000000" w:sz="4"/>
              <w:left w:val="single" w:color="#000000" w:sz="4"/>
              <w:bottom w:val="single" w:color="#000000" w:sz="4"/>
              <w:right w:val="single" w:color="#000000" w:sz="4"/>
            </w:tcBorders>
            <w:shd w:fill="DCDCDC"/>
            <w:vAlign w:val="center"/>
          </w:tcPr>
          <w:p>
            <w:pPr>
              <w:pBdr/>
              <w:spacing w:before="20" w:after="20"/>
              <w:ind w:left="0" w:right="0"/>
              <w:jc w:val="center"/>
            </w:pPr>
            <w:r>
              <w:rPr>
                <w:rFonts w:ascii="Times New Roman" w:hAnsi="Times New Roman" w:cs="Times New Roman"/>
                <w:color w:val="000000"/>
                <w:sz w:val="20"/>
              </w:rPr>
              <w:t xml:space="preserve"/>
            </w:r>
            <w:r>
              <w:rPr>
                <w:rFonts w:ascii="Times New Roman" w:hAnsi="Times New Roman" w:cs="Times New Roman"/>
                <w:color w:val="000000"/>
                <w:sz w:val="20"/>
              </w:rPr>
              <w:t xml:space="preserve">6.7</w:t>
            </w:r>
          </w:p>
        </w:tc>
      </w:tr>
      <w:tr>
        <w:tc>
          <w:tcPr>
            <w:gridSpan w:val="20"/>
            <w:shd w:fill="FFFFFF"/>
            <w:tcMar>
              <w:top w:w="120" w:type="dxa"/>
            </w:tcMar>
            <w:vAlign w:val="center"/>
          </w:tcPr>
          <w:p>
            <w:pPr>
              <w:pBdr/>
              <w:spacing w:before="20" w:after="20"/>
              <w:ind w:left="20" w:right="20"/>
              <w:jc w:val="left"/>
            </w:pPr>
            <w:r>
              <w:rPr>
                <w:rFonts w:ascii="Times New Roman" w:hAnsi="Times New Roman" w:cs="Times New Roman"/>
                <w:color w:val="000000"/>
                <w:sz w:val="20"/>
              </w:rPr>
              <w:t xml:space="preserve">Notes: Ratios reflect the tumor-specific publication ratio relative to median publication ratio (see previous table for non-standardized ratios)</w:t>
            </w:r>
            <w:r>
              <w:rPr>
                <w:rFonts w:ascii="Times New Roman" w:hAnsi="Times New Roman" w:cs="Times New Roman"/>
                <w:color w:val="000000"/>
                <w:sz w:val="20"/>
              </w:rPr>
              <w:br/>
              <w:t xml:space="preserve">Values above 1.0 indicate ratios higher than the median, and values below 1.0 indicate ratios below the median (shaded orange)</w:t>
            </w:r>
          </w:p>
        </w:tc>
      </w:tr>
    </w:tbl>
    <w:p>
      <w:pPr>
        <w:sectPr w:rsidRPr="006536A5" w:rsidR="006536A5" w:rsidSect="00C36E4B">
          <w:type w:val="continuous"/>
          <w:pgSz w:w="15840" w:h="12240" w:orient="landscape"/>
          <w:pgMar w:top="1008" w:right="1440" w:bottom="720" w:left="1440" w:header="720" w:footer="720" w:gutter="0"/>
          <w:cols w:space="432" w:num="1"/>
          <w:docGrid w:linePitch="360"/>
        </w:sectPr>
      </w:pPr>
    </w:p>
    <w:p>
      <w:pPr>
        <w:pStyle w:val="Heading1"/>
      </w:pPr>
      <w:r>
        <w:t>Conclusions</w:t>
      </w:r>
    </w:p>
    <w:p>
      <w:pPr>
        <w:numPr>
          <w:ilvl w:val="0"/>
          <w:numId w:val="14"/>
        </w:numPr>
        <w:pBdr/>
        <w:spacing w:before="20" w:after="20"/>
        <w:jc w:val="left"/>
      </w:pPr>
      <w:r>
        <w:rPr>
          <w:rFonts w:ascii="Times New Roman" w:hAnsi="Times New Roman" w:cs="Times New Roman"/>
          <w:color w:val="000000"/>
          <w:sz w:val="22"/>
        </w:rPr>
        <w:t xml:space="preserve">There has been steady growth in the number of publications over time using the SEER-Medicare data</w:t>
      </w:r>
    </w:p>
    <w:p>
      <w:pPr>
        <w:numPr>
          <w:ilvl w:val="0"/>
          <w:numId w:val="14"/>
        </w:numPr>
        <w:pBdr/>
        <w:spacing w:before="20" w:after="20"/>
        <w:jc w:val="left"/>
      </w:pPr>
      <w:r>
        <w:rPr>
          <w:rFonts w:ascii="Times New Roman" w:hAnsi="Times New Roman" w:cs="Times New Roman"/>
          <w:color w:val="000000"/>
          <w:sz w:val="22"/>
        </w:rPr>
        <w:t xml:space="preserve">Breast, prostate, colorectal, and lung are the tumor sites with the highest number of publications</w:t>
      </w:r>
    </w:p>
    <w:p>
      <w:pPr>
        <w:numPr>
          <w:ilvl w:val="0"/>
          <w:numId w:val="14"/>
        </w:numPr>
        <w:pBdr/>
        <w:spacing w:before="20" w:after="20"/>
        <w:jc w:val="left"/>
      </w:pPr>
      <w:r>
        <w:rPr>
          <w:rFonts w:ascii="Times New Roman" w:hAnsi="Times New Roman" w:cs="Times New Roman"/>
          <w:color w:val="000000"/>
          <w:sz w:val="22"/>
        </w:rPr>
        <w:t xml:space="preserve">The number of publications appears to align better with incidence and prevalence than with death, particularly for more common cancers</w:t>
      </w:r>
    </w:p>
    <w:p>
      <w:pPr>
        <w:numPr>
          <w:ilvl w:val="0"/>
          <w:numId w:val="14"/>
        </w:numPr>
        <w:pBdr/>
        <w:spacing w:before="20" w:after="20"/>
        <w:jc w:val="left"/>
      </w:pPr>
      <w:r>
        <w:rPr>
          <w:rFonts w:ascii="Times New Roman" w:hAnsi="Times New Roman" w:cs="Times New Roman"/>
          <w:color w:val="000000"/>
          <w:sz w:val="22"/>
        </w:rPr>
        <w:t xml:space="preserve">Leukemia, corpus uteri, multiple myeloma, and skin might be under-represented in terms of the absolute number of publications</w:t>
      </w:r>
    </w:p>
    <w:p>
      <w:pPr>
        <w:pBdr/>
        <w:spacing w:before="20" w:after="20"/>
        <w:ind w:left="20" w:right="20"/>
        <w:jc w:val="left"/>
      </w:pPr>
      <w:r>
        <w:rPr>
          <w:rFonts w:ascii="Times New Roman" w:hAnsi="Times New Roman" w:cs="Times New Roman"/>
          <w:color w:val="000000"/>
          <w:sz w:val="22"/>
        </w:rPr>
        <w:t xml:space="preserve"/>
      </w:r>
    </w:p>
    <w:p>
      <w:pPr>
        <w:pStyle w:val="Heading1"/>
      </w:pPr>
      <w:r>
        <w:t>Data Sources</w:t>
      </w:r>
    </w:p>
    <w:p>
      <w:pPr>
        <w:numPr>
          <w:ilvl w:val="0"/>
          <w:numId w:val="14"/>
        </w:numPr>
        <w:pBdr/>
        <w:spacing w:before="20" w:after="20"/>
        <w:jc w:val="left"/>
      </w:pPr>
      <w:r>
        <w:rPr>
          <w:rFonts w:ascii="Times New Roman" w:hAnsi="Times New Roman" w:cs="Times New Roman"/>
          <w:color w:val="000000"/>
          <w:sz w:val="22"/>
        </w:rPr>
        <w:t xml:space="preserve">Incidence (2020), Prevalence (2020), Deaths (2020)</w:t>
      </w:r>
    </w:p>
    <w:p>
      <w:pPr>
        <w:numPr>
          <w:ilvl w:val="1"/>
          <w:numId w:val="14"/>
        </w:numPr>
        <w:pBdr/>
        <w:spacing w:before="20" w:after="20"/>
        <w:jc w:val="left"/>
      </w:pPr>
      <w:r>
        <w:rPr>
          <w:rFonts w:ascii="Times New Roman" w:hAnsi="Times New Roman" w:cs="Times New Roman"/>
          <w:color w:val="000000"/>
          <w:sz w:val="22"/>
        </w:rPr>
        <w:t xml:space="preserve">Howlader N, Noone AM, Krapcho M, Miller D, Brest A, Yu M, Ruhl J, Tatalovich Z, Mariotto A, Lewis DR, Chen HS, Feuer EJ, Cronin KA (eds). SEER Cancer Statistics Review, 1975-2017, National Cancer Institute. Bethesda, MD, https://seer.cancer.gov/csr/1975_2017/, based on November 2019 SEER data submission, posted to the SEER web site, April 2020.</w:t>
      </w:r>
    </w:p>
    <w:p>
      <w:pPr>
        <w:numPr>
          <w:ilvl w:val="0"/>
          <w:numId w:val="14"/>
        </w:numPr>
        <w:pBdr/>
        <w:spacing w:before="20" w:after="20"/>
        <w:jc w:val="left"/>
      </w:pPr>
      <w:r>
        <w:rPr>
          <w:rFonts w:ascii="Times New Roman" w:hAnsi="Times New Roman" w:cs="Times New Roman"/>
          <w:color w:val="000000"/>
          <w:sz w:val="22"/>
        </w:rPr>
        <w:t xml:space="preserve">Proportion of patients age 65 or older at diagnosis (2013-2017)</w:t>
      </w:r>
    </w:p>
    <w:p>
      <w:pPr>
        <w:numPr>
          <w:ilvl w:val="1"/>
          <w:numId w:val="14"/>
        </w:numPr>
        <w:pBdr/>
        <w:spacing w:before="20" w:after="20"/>
        <w:jc w:val="left"/>
      </w:pPr>
      <w:r>
        <w:rPr>
          <w:rFonts w:ascii="Times New Roman" w:hAnsi="Times New Roman" w:cs="Times New Roman"/>
          <w:color w:val="000000"/>
          <w:sz w:val="22"/>
        </w:rPr>
        <w:t xml:space="preserve">Howlader N, Noone AM, Krapcho M, Miller D, Brest A, Yu M, Ruhl J, Tatalovich Z, Mariotto A, Lewis DR, Chen HS, Feuer EJ, Cronin KA (eds). SEER Cancer Statistics Review, 1975-2017, National Cancer Institute. Bethesda, MD, https://seer.cancer.gov/csr/1975_2017/, based on November 2019 SEER data submission, posted to the SEER web site, April 2020.</w:t>
      </w:r>
    </w:p>
    <w:p>
      <w:pPr>
        <w:numPr>
          <w:ilvl w:val="0"/>
          <w:numId w:val="14"/>
        </w:numPr>
        <w:pBdr/>
        <w:spacing w:before="20" w:after="20"/>
        <w:jc w:val="left"/>
      </w:pPr>
      <w:r>
        <w:rPr>
          <w:rFonts w:ascii="Times New Roman" w:hAnsi="Times New Roman" w:cs="Times New Roman"/>
          <w:color w:val="000000"/>
          <w:sz w:val="22"/>
        </w:rPr>
        <w:t xml:space="preserve">All Site and Morphology classifications were aligned among all data sources with a few exceptions:</w:t>
      </w:r>
    </w:p>
    <w:p>
      <w:pPr>
        <w:numPr>
          <w:ilvl w:val="1"/>
          <w:numId w:val="14"/>
        </w:numPr>
        <w:pBdr/>
        <w:spacing w:before="20" w:after="20"/>
        <w:jc w:val="left"/>
      </w:pPr>
      <w:r>
        <w:rPr>
          <w:rFonts w:ascii="Times New Roman" w:hAnsi="Times New Roman" w:cs="Times New Roman"/>
          <w:color w:val="000000"/>
          <w:sz w:val="22"/>
        </w:rPr>
        <w:t xml:space="preserve">Head and Neck was defined using SEER/CDC category: Oral Cavity and Pharynx</w:t>
      </w:r>
    </w:p>
    <w:p>
      <w:pPr>
        <w:numPr>
          <w:ilvl w:val="1"/>
          <w:numId w:val="14"/>
        </w:numPr>
        <w:pBdr/>
        <w:spacing w:before="20" w:after="20"/>
        <w:jc w:val="left"/>
      </w:pPr>
      <w:r>
        <w:rPr>
          <w:rFonts w:ascii="Times New Roman" w:hAnsi="Times New Roman" w:cs="Times New Roman"/>
          <w:color w:val="000000"/>
          <w:sz w:val="22"/>
        </w:rPr>
        <w:t xml:space="preserve">Corpus Uteri was defined using SEER/CDC category: Endometrial Cancer</w:t>
      </w:r>
    </w:p>
    <w:p>
      <w:pPr>
        <w:pBdr/>
        <w:spacing w:before="20" w:after="20"/>
        <w:ind w:left="20" w:right="20"/>
        <w:jc w:val="left"/>
      </w:pPr>
      <w:r>
        <w:rPr>
          <w:rFonts w:ascii="Times New Roman" w:hAnsi="Times New Roman" w:cs="Times New Roman"/>
          <w:color w:val="000000"/>
          <w:sz w:val="22"/>
        </w:rPr>
        <w:t xml:space="preserve"/>
      </w:r>
    </w:p>
    <w:p>
      <w:pPr>
        <w:pStyle w:val="Heading1"/>
      </w:pPr>
      <w:r>
        <w:t>Acknowledgements</w:t>
      </w:r>
    </w:p>
    <w:p>
      <w:pPr>
        <w:pBdr/>
        <w:spacing w:before="20" w:after="20"/>
        <w:ind w:left="20" w:right="20"/>
        <w:jc w:val="left"/>
      </w:pPr>
      <w:r>
        <w:rPr>
          <w:rFonts w:ascii="Times New Roman" w:hAnsi="Times New Roman" w:cs="Times New Roman"/>
          <w:color w:val="000000"/>
          <w:sz w:val="22"/>
        </w:rPr>
        <w:t xml:space="preserve">Thanks to Ryan Duryea who helped to automate this and previous versions of this report</w:t>
      </w:r>
    </w:p>
    <w:p>
      <w:br w:type="page"/>
    </w:p>
    <w:p>
      <w:pPr>
        <w:pStyle w:val="Heading1"/>
      </w:pPr>
      <w:r>
        <w:t>Contact Information</w:t>
      </w:r>
    </w:p>
    <w:p>
      <w:pPr>
        <w:pBdr/>
        <w:spacing w:before="20" w:after="20"/>
        <w:ind w:left="20" w:right="20"/>
        <w:jc w:val="left"/>
      </w:pPr>
      <w:r>
        <w:rPr>
          <w:rFonts w:ascii="Times New Roman" w:hAnsi="Times New Roman" w:cs="Times New Roman"/>
          <w:color w:val="000000"/>
          <w:sz w:val="22"/>
        </w:rPr>
        <w:t xml:space="preserve">Mark D. Danese</w:t>
      </w:r>
    </w:p>
    <w:p>
      <w:pPr>
        <w:pBdr/>
        <w:spacing w:before="20" w:after="20"/>
        <w:ind w:left="20" w:right="20"/>
        <w:jc w:val="left"/>
      </w:pPr>
      <w:r>
        <w:rPr>
          <w:rFonts w:ascii="Times New Roman" w:hAnsi="Times New Roman" w:cs="Times New Roman"/>
          <w:color w:val="000000"/>
          <w:sz w:val="22"/>
        </w:rPr>
        <w:t xml:space="preserve">Outcomes Insights, Inc.</w:t>
      </w:r>
    </w:p>
    <w:p>
      <w:pPr>
        <w:pBdr/>
        <w:spacing w:before="20" w:after="20"/>
        <w:ind w:left="20" w:right="20"/>
        <w:jc w:val="left"/>
      </w:pPr>
      <w:r>
        <w:rPr>
          <w:rFonts w:ascii="Times New Roman" w:hAnsi="Times New Roman" w:cs="Times New Roman"/>
          <w:color w:val="000000"/>
          <w:sz w:val="22"/>
        </w:rPr>
        <w:t xml:space="preserve">30200 Agoura Road, Suite 230</w:t>
      </w:r>
    </w:p>
    <w:p>
      <w:pPr>
        <w:pBdr/>
        <w:spacing w:before="20" w:after="20"/>
        <w:ind w:left="20" w:right="20"/>
        <w:jc w:val="left"/>
      </w:pPr>
      <w:r>
        <w:rPr>
          <w:rFonts w:ascii="Times New Roman" w:hAnsi="Times New Roman" w:cs="Times New Roman"/>
          <w:color w:val="000000"/>
          <w:sz w:val="22"/>
        </w:rPr>
        <w:t xml:space="preserve">Agoura Hills, CA 91302</w:t>
      </w:r>
    </w:p>
    <w:p>
      <w:pPr>
        <w:pBdr/>
        <w:spacing w:before="20" w:after="20"/>
        <w:ind w:left="20" w:right="20"/>
        <w:jc w:val="left"/>
      </w:pPr>
      <w:r>
        <w:rPr>
          <w:rFonts w:ascii="Times New Roman" w:hAnsi="Times New Roman" w:cs="Times New Roman"/>
          <w:color w:val="000000"/>
          <w:sz w:val="22"/>
        </w:rPr>
        <w:t xml:space="preserve">805-498-0034</w:t>
      </w:r>
    </w:p>
    <w:p>
      <w:pPr>
        <w:pBdr/>
        <w:spacing w:before="20" w:after="20"/>
        <w:ind w:left="20" w:right="20"/>
        <w:jc w:val="left"/>
      </w:pPr>
      <w:r>
        <w:rPr>
          <w:rFonts w:ascii="Times New Roman" w:hAnsi="Times New Roman" w:cs="Times New Roman"/>
          <w:color w:val="000000"/>
          <w:sz w:val="22"/>
        </w:rPr>
        <w:t xml:space="preserve">mark@outins.com</w:t>
      </w:r>
    </w:p>
    <w:p>
      <w:pPr>
        <w:pBdr/>
        <w:spacing w:before="20" w:after="20"/>
        <w:ind w:left="20" w:right="20"/>
        <w:jc w:val="left"/>
      </w:pPr>
      <w:hyperlink w:history="true" r:id="rId22">
        <w:r>
          <w:rPr>
            <w:rFonts w:ascii="Times New Roman" w:hAnsi="Times New Roman" w:cs="Times New Roman"/>
            <w:color w:val="000000"/>
            <w:sz w:val="22"/>
            <w:u w:val="single"/>
          </w:rPr>
          <w:t xml:space="preserve">www.outins.com</w:t>
        </w:r>
      </w:hyperlink>
    </w:p>
    <w:pPr>
      <w:sectPr w:rsidRPr="006536A5" w:rsidR="006536A5" w:rsidSect="00C36E4B">
        <w:type w:val="continuous"/>
        <w:pgSz w:w="12240" w:h="15840" w:orient="portrait"/>
        <w:pgMar w:top="1008" w:right="1440" w:bottom="720" w:left="1440" w:header="720" w:footer="720" w:gutter="0"/>
        <w:cols w:space="432" w:num="1"/>
        <w:docGrid w:linePitch="360"/>
      </w:sectPr>
    </w:pPr>
    <w:sectPr w:rsidRPr="006536A5" w:rsidR="006536A5" w:rsidSect="00C36E4B">
      <w:type w:val="continuous"/>
      <w:pgSz w:w="12240" w:h="15840"/>
      <w:pgMar w:top="1008"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748F" w:rsidRDefault="001B748F" w:rsidP="00CB4D65">
      <w:pPr>
        <w:spacing w:after="0" w:line="240" w:lineRule="auto"/>
      </w:pPr>
      <w:r>
        <w:separator/>
      </w:r>
    </w:p>
  </w:endnote>
  <w:endnote w:type="continuationSeparator" w:id="0">
    <w:p w:rsidR="001B748F" w:rsidRDefault="001B748F" w:rsidP="00CB4D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748F" w:rsidRDefault="001B748F" w:rsidP="00CB4D65">
      <w:pPr>
        <w:spacing w:after="0" w:line="240" w:lineRule="auto"/>
      </w:pPr>
      <w:r>
        <w:separator/>
      </w:r>
    </w:p>
  </w:footnote>
  <w:footnote w:type="continuationSeparator" w:id="0">
    <w:p w:rsidR="001B748F" w:rsidRDefault="001B748F" w:rsidP="00CB4D65">
      <w:pPr>
        <w:spacing w:after="0" w:line="240" w:lineRule="auto"/>
      </w:pPr>
      <w:r>
        <w:continuationSeparator/>
      </w:r>
    </w:p>
  </w:footnote>
</w:footnotes>
</file>

<file path=word/numbering.xml><?xml version="1.0" encoding="utf-8"?>
<w:numbering xmlns:wp="http://schemas.openxmlformats.org/drawingml/2006/wordprocessingDrawing" xmlns:r="http://schemas.openxmlformats.org/officeDocument/2006/relationships" xmlns:a="http://schemas.openxmlformats.org/drawingml/2006/main" xmlns:w="http://schemas.openxmlformats.org/wordprocess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00000003"/>
    <w:multiLevelType w:val="hybridMultilevel"/>
    <w:tmpl w:val="00000004"/>
    <w:lvl w:ilvl="0" w:tplc="04603ACE">
      <w:start w:val="1"/>
      <w:numFmt w:val="decimal"/>
      <w:lvlText w:val="%1."/>
      <w:lvlJc w:val="left"/>
      <w:pPr>
        <w:ind w:left="1296" w:hanging="576"/>
      </w:pPr>
    </w:lvl>
    <w:lvl w:ilvl="1" w:tplc="7C0A2BFA">
      <w:start w:val="1"/>
      <w:numFmt w:val="decimal"/>
      <w:lvlText w:val="%2."/>
      <w:lvlJc w:val="left"/>
      <w:pPr>
        <w:ind w:left="2015" w:hanging="576"/>
      </w:pPr>
    </w:lvl>
    <w:lvl w:ilvl="2" w:tplc="75CA2B56">
      <w:start w:val="1"/>
      <w:numFmt w:val="decimal"/>
      <w:lvlText w:val="%3."/>
      <w:lvlJc w:val="left"/>
      <w:pPr>
        <w:ind w:left="2736" w:hanging="576"/>
      </w:pPr>
    </w:lvl>
    <w:lvl w:ilvl="3" w:tplc="D144DAAE">
      <w:start w:val="1"/>
      <w:numFmt w:val="decimal"/>
      <w:lvlText w:val="%4."/>
      <w:lvlJc w:val="left"/>
      <w:pPr>
        <w:ind w:left="3456" w:hanging="576"/>
      </w:pPr>
    </w:lvl>
    <w:lvl w:ilvl="4" w:tplc="03C4BC6C">
      <w:start w:val="1"/>
      <w:numFmt w:val="decimal"/>
      <w:lvlText w:val="%5."/>
      <w:lvlJc w:val="left"/>
      <w:pPr>
        <w:ind w:left="4176" w:hanging="576"/>
      </w:pPr>
    </w:lvl>
    <w:lvl w:ilvl="5" w:tplc="F5B0FE5C">
      <w:start w:val="1"/>
      <w:numFmt w:val="decimal"/>
      <w:lvlText w:val="%6."/>
      <w:lvlJc w:val="left"/>
      <w:pPr>
        <w:ind w:left="4896" w:hanging="576"/>
      </w:pPr>
    </w:lvl>
    <w:lvl w:ilvl="6" w:tplc="A6FA6E92">
      <w:start w:val="1"/>
      <w:numFmt w:val="decimal"/>
      <w:lvlText w:val="%7."/>
      <w:lvlJc w:val="left"/>
      <w:pPr>
        <w:ind w:left="5616" w:hanging="576"/>
      </w:pPr>
    </w:lvl>
    <w:lvl w:ilvl="7" w:tplc="2F5A0D7E">
      <w:start w:val="1"/>
      <w:numFmt w:val="decimal"/>
      <w:lvlText w:val="%8."/>
      <w:lvlJc w:val="left"/>
      <w:pPr>
        <w:ind w:left="6336" w:hanging="576"/>
      </w:pPr>
    </w:lvl>
    <w:lvl w:ilvl="8" w:tplc="F69412DA">
      <w:start w:val="1"/>
      <w:numFmt w:val="decimal"/>
      <w:lvlText w:val="%9."/>
      <w:lvlJc w:val="left"/>
      <w:pPr>
        <w:ind w:left="7056" w:hanging="576"/>
      </w:pPr>
    </w:lvl>
  </w:abstractNum>
  <w:abstractNum w:abstractNumId="1">
    <w:nsid w:val="00000005"/>
    <w:multiLevelType w:val="hybridMultilevel"/>
    <w:tmpl w:val="00000006"/>
    <w:lvl w:ilvl="0" w:tplc="16983562">
      <w:start w:val="1"/>
      <w:numFmt w:val="bullet"/>
      <w:lvlText w:val="● "/>
      <w:lvlJc w:val="left"/>
      <w:pPr>
        <w:ind w:left="576" w:hanging="576"/>
      </w:pPr>
    </w:lvl>
    <w:lvl w:ilvl="1" w:tplc="53A8A73C">
      <w:start w:val="1"/>
      <w:numFmt w:val="bullet"/>
      <w:lvlText w:val="○ "/>
      <w:lvlJc w:val="left"/>
      <w:pPr>
        <w:ind w:left="1296" w:hanging="576"/>
      </w:pPr>
    </w:lvl>
    <w:lvl w:ilvl="2" w:tplc="31D63E3C">
      <w:start w:val="1"/>
      <w:numFmt w:val="bullet"/>
      <w:lvlText w:val="● "/>
      <w:lvlJc w:val="left"/>
      <w:pPr>
        <w:ind w:left="2015" w:hanging="576"/>
      </w:pPr>
    </w:lvl>
    <w:lvl w:ilvl="3" w:tplc="F49CC838">
      <w:start w:val="1"/>
      <w:numFmt w:val="bullet"/>
      <w:lvlText w:val="○ "/>
      <w:lvlJc w:val="left"/>
      <w:pPr>
        <w:ind w:left="2736" w:hanging="576"/>
      </w:pPr>
    </w:lvl>
    <w:lvl w:ilvl="4" w:tplc="BB5A0B28">
      <w:start w:val="1"/>
      <w:numFmt w:val="bullet"/>
      <w:lvlText w:val="● "/>
      <w:lvlJc w:val="left"/>
      <w:pPr>
        <w:ind w:left="3456" w:hanging="576"/>
      </w:pPr>
    </w:lvl>
    <w:lvl w:ilvl="5" w:tplc="45FC3502">
      <w:start w:val="1"/>
      <w:numFmt w:val="bullet"/>
      <w:lvlText w:val="○ "/>
      <w:lvlJc w:val="left"/>
      <w:pPr>
        <w:ind w:left="4176" w:hanging="576"/>
      </w:pPr>
    </w:lvl>
    <w:lvl w:ilvl="6" w:tplc="EDC8A39E">
      <w:start w:val="1"/>
      <w:numFmt w:val="bullet"/>
      <w:lvlText w:val="● "/>
      <w:lvlJc w:val="left"/>
      <w:pPr>
        <w:ind w:left="4896" w:hanging="576"/>
      </w:pPr>
    </w:lvl>
    <w:lvl w:ilvl="7" w:tplc="637E75F0">
      <w:start w:val="1"/>
      <w:numFmt w:val="bullet"/>
      <w:lvlText w:val="○ "/>
      <w:lvlJc w:val="left"/>
      <w:pPr>
        <w:ind w:left="5616" w:hanging="576"/>
      </w:pPr>
    </w:lvl>
    <w:lvl w:ilvl="8" w:tplc="ED34661E">
      <w:start w:val="1"/>
      <w:numFmt w:val="bullet"/>
      <w:lvlText w:val="● "/>
      <w:lvlJc w:val="left"/>
      <w:pPr>
        <w:ind w:left="6336" w:hanging="576"/>
      </w:pPr>
    </w:lvl>
  </w:abstractNum>
  <w:abstractNum w:abstractNumId="2">
    <w:nsid w:val="00000007"/>
    <w:multiLevelType w:val="hybridMultilevel"/>
    <w:tmpl w:val="00000008"/>
    <w:lvl w:ilvl="0" w:tplc="B7A608C8">
      <w:start w:val="1"/>
      <w:numFmt w:val="bullet"/>
      <w:lvlText w:val="● "/>
      <w:lvlJc w:val="left"/>
      <w:pPr>
        <w:ind w:left="576" w:hanging="576"/>
      </w:pPr>
    </w:lvl>
    <w:lvl w:ilvl="1" w:tplc="43626E9C">
      <w:start w:val="1"/>
      <w:numFmt w:val="bullet"/>
      <w:lvlText w:val="○ "/>
      <w:lvlJc w:val="left"/>
      <w:pPr>
        <w:ind w:left="1296" w:hanging="576"/>
      </w:pPr>
    </w:lvl>
    <w:lvl w:ilvl="2" w:tplc="B1965406">
      <w:start w:val="1"/>
      <w:numFmt w:val="bullet"/>
      <w:lvlText w:val="● "/>
      <w:lvlJc w:val="left"/>
      <w:pPr>
        <w:ind w:left="2015" w:hanging="576"/>
      </w:pPr>
    </w:lvl>
    <w:lvl w:ilvl="3" w:tplc="BF3E2ED0">
      <w:start w:val="1"/>
      <w:numFmt w:val="bullet"/>
      <w:lvlText w:val="○ "/>
      <w:lvlJc w:val="left"/>
      <w:pPr>
        <w:ind w:left="2736" w:hanging="576"/>
      </w:pPr>
    </w:lvl>
    <w:lvl w:ilvl="4" w:tplc="71F42858">
      <w:start w:val="1"/>
      <w:numFmt w:val="bullet"/>
      <w:lvlText w:val="● "/>
      <w:lvlJc w:val="left"/>
      <w:pPr>
        <w:ind w:left="3456" w:hanging="576"/>
      </w:pPr>
    </w:lvl>
    <w:lvl w:ilvl="5" w:tplc="14F418EC">
      <w:start w:val="1"/>
      <w:numFmt w:val="bullet"/>
      <w:lvlText w:val="○ "/>
      <w:lvlJc w:val="left"/>
      <w:pPr>
        <w:ind w:left="4176" w:hanging="576"/>
      </w:pPr>
    </w:lvl>
    <w:lvl w:ilvl="6" w:tplc="901E700A">
      <w:start w:val="1"/>
      <w:numFmt w:val="bullet"/>
      <w:lvlText w:val="● "/>
      <w:lvlJc w:val="left"/>
      <w:pPr>
        <w:ind w:left="4896" w:hanging="576"/>
      </w:pPr>
    </w:lvl>
    <w:lvl w:ilvl="7" w:tplc="9620EC12">
      <w:start w:val="1"/>
      <w:numFmt w:val="bullet"/>
      <w:lvlText w:val="○ "/>
      <w:lvlJc w:val="left"/>
      <w:pPr>
        <w:ind w:left="5616" w:hanging="576"/>
      </w:pPr>
    </w:lvl>
    <w:lvl w:ilvl="8" w:tplc="29C8619A">
      <w:start w:val="1"/>
      <w:numFmt w:val="bullet"/>
      <w:lvlText w:val="● "/>
      <w:lvlJc w:val="left"/>
      <w:pPr>
        <w:ind w:left="6336" w:hanging="576"/>
      </w:pPr>
    </w:lvl>
  </w:abstractNum>
  <w:abstractNum w:abstractNumId="3">
    <w:nsid w:val="00000009"/>
    <w:multiLevelType w:val="hybridMultilevel"/>
    <w:tmpl w:val="0000000A"/>
    <w:lvl w:ilvl="0" w:tplc="46082C1A">
      <w:start w:val="1"/>
      <w:numFmt w:val="bullet"/>
      <w:lvlText w:val="● "/>
      <w:lvlJc w:val="left"/>
      <w:pPr>
        <w:ind w:left="576" w:hanging="576"/>
      </w:pPr>
    </w:lvl>
    <w:lvl w:ilvl="1" w:tplc="4866F1C8">
      <w:start w:val="1"/>
      <w:numFmt w:val="bullet"/>
      <w:lvlText w:val="○ "/>
      <w:lvlJc w:val="left"/>
      <w:pPr>
        <w:ind w:left="1296" w:hanging="576"/>
      </w:pPr>
    </w:lvl>
    <w:lvl w:ilvl="2" w:tplc="4E50A4AE">
      <w:start w:val="1"/>
      <w:numFmt w:val="bullet"/>
      <w:lvlText w:val="● "/>
      <w:lvlJc w:val="left"/>
      <w:pPr>
        <w:ind w:left="2015" w:hanging="576"/>
      </w:pPr>
    </w:lvl>
    <w:lvl w:ilvl="3" w:tplc="4A74B01A">
      <w:start w:val="1"/>
      <w:numFmt w:val="bullet"/>
      <w:lvlText w:val="○ "/>
      <w:lvlJc w:val="left"/>
      <w:pPr>
        <w:ind w:left="2736" w:hanging="576"/>
      </w:pPr>
    </w:lvl>
    <w:lvl w:ilvl="4" w:tplc="74C62B2A">
      <w:start w:val="1"/>
      <w:numFmt w:val="bullet"/>
      <w:lvlText w:val="● "/>
      <w:lvlJc w:val="left"/>
      <w:pPr>
        <w:ind w:left="3456" w:hanging="576"/>
      </w:pPr>
    </w:lvl>
    <w:lvl w:ilvl="5" w:tplc="315CF89A">
      <w:start w:val="1"/>
      <w:numFmt w:val="bullet"/>
      <w:lvlText w:val="○ "/>
      <w:lvlJc w:val="left"/>
      <w:pPr>
        <w:ind w:left="4176" w:hanging="576"/>
      </w:pPr>
    </w:lvl>
    <w:lvl w:ilvl="6" w:tplc="D39CC374">
      <w:start w:val="1"/>
      <w:numFmt w:val="bullet"/>
      <w:lvlText w:val="● "/>
      <w:lvlJc w:val="left"/>
      <w:pPr>
        <w:ind w:left="4896" w:hanging="576"/>
      </w:pPr>
    </w:lvl>
    <w:lvl w:ilvl="7" w:tplc="B5422A3E">
      <w:start w:val="1"/>
      <w:numFmt w:val="bullet"/>
      <w:lvlText w:val="○ "/>
      <w:lvlJc w:val="left"/>
      <w:pPr>
        <w:ind w:left="5616" w:hanging="576"/>
      </w:pPr>
    </w:lvl>
    <w:lvl w:ilvl="8" w:tplc="EFA65028">
      <w:start w:val="1"/>
      <w:numFmt w:val="bullet"/>
      <w:lvlText w:val="● "/>
      <w:lvlJc w:val="left"/>
      <w:pPr>
        <w:ind w:left="6336" w:hanging="576"/>
      </w:pPr>
    </w:lvl>
  </w:abstractNum>
  <w:abstractNum w:abstractNumId="4">
    <w:nsid w:val="9"/>
    <w:multiLevelType w:val="hybridMultilevel"/>
    <w:tmpl w:val="a"/>
    <w:lvl w:ilvl="0">
      <w:start w:val="1"/>
      <w:numFmt w:val="decimal"/>
      <w:lvlText w:val="%1."/>
      <w:lvlJc w:val="left"/>
      <w:pPr>
        <w:ind w:left="1296" w:hanging="576"/>
      </w:pPr>
    </w:lvl>
    <w:lvl w:ilvl="1">
      <w:start w:val="1"/>
      <w:numFmt w:val="decimal"/>
      <w:lvlText w:val="%2."/>
      <w:lvlJc w:val="left"/>
      <w:pPr>
        <w:ind w:left="2015" w:hanging="576"/>
      </w:pPr>
    </w:lvl>
    <w:lvl w:ilvl="2">
      <w:start w:val="1"/>
      <w:numFmt w:val="decimal"/>
      <w:lvlText w:val="%3."/>
      <w:lvlJc w:val="left"/>
      <w:pPr>
        <w:ind w:left="2736" w:hanging="576"/>
      </w:pPr>
    </w:lvl>
    <w:lvl w:ilvl="3">
      <w:start w:val="1"/>
      <w:numFmt w:val="decimal"/>
      <w:lvlText w:val="%4."/>
      <w:lvlJc w:val="left"/>
      <w:pPr>
        <w:ind w:left="3456" w:hanging="576"/>
      </w:pPr>
    </w:lvl>
    <w:lvl w:ilvl="4">
      <w:start w:val="1"/>
      <w:numFmt w:val="decimal"/>
      <w:lvlText w:val="%5."/>
      <w:lvlJc w:val="left"/>
      <w:pPr>
        <w:ind w:left="4176" w:hanging="576"/>
      </w:pPr>
    </w:lvl>
    <w:lvl w:ilvl="5">
      <w:start w:val="1"/>
      <w:numFmt w:val="decimal"/>
      <w:lvlText w:val="%6."/>
      <w:lvlJc w:val="left"/>
      <w:pPr>
        <w:ind w:left="4896" w:hanging="576"/>
      </w:pPr>
    </w:lvl>
    <w:lvl w:ilvl="6">
      <w:start w:val="1"/>
      <w:numFmt w:val="decimal"/>
      <w:lvlText w:val="%7."/>
      <w:lvlJc w:val="left"/>
      <w:pPr>
        <w:ind w:left="5616" w:hanging="576"/>
      </w:pPr>
    </w:lvl>
    <w:lvl w:ilvl="7">
      <w:start w:val="1"/>
      <w:numFmt w:val="decimal"/>
      <w:lvlText w:val="%8."/>
      <w:lvlJc w:val="left"/>
      <w:pPr>
        <w:ind w:left="6336" w:hanging="576"/>
      </w:pPr>
    </w:lvl>
    <w:lvl w:ilvl="8">
      <w:start w:val="1"/>
      <w:numFmt w:val="decimal"/>
      <w:lvlText w:val="%9."/>
      <w:lvlJc w:val="left"/>
      <w:pPr>
        <w:ind w:left="7056" w:hanging="576"/>
      </w:pPr>
    </w:lvl>
  </w:abstractNum>
  <w:abstractNum w:abstractNumId="5">
    <w:nsid w:val="b"/>
    <w:multiLevelType w:val="hybridMultilevel"/>
    <w:tmpl w:val="c"/>
    <w:lvl w:ilvl="0">
      <w:start w:val="1"/>
      <w:numFmt w:val="bullet"/>
      <w:lvlText w:val="● "/>
      <w:lvlJc w:val="left"/>
      <w:pPr>
        <w:ind w:left="576" w:hanging="576"/>
      </w:pPr>
    </w:lvl>
    <w:lvl w:ilvl="1">
      <w:start w:val="1"/>
      <w:numFmt w:val="bullet"/>
      <w:lvlText w:val="○ "/>
      <w:lvlJc w:val="left"/>
      <w:pPr>
        <w:ind w:left="1296" w:hanging="576"/>
      </w:pPr>
    </w:lvl>
    <w:lvl w:ilvl="2">
      <w:start w:val="1"/>
      <w:numFmt w:val="bullet"/>
      <w:lvlText w:val="● "/>
      <w:lvlJc w:val="left"/>
      <w:pPr>
        <w:ind w:left="2015" w:hanging="576"/>
      </w:pPr>
    </w:lvl>
    <w:lvl w:ilvl="3">
      <w:start w:val="1"/>
      <w:numFmt w:val="bullet"/>
      <w:lvlText w:val="○ "/>
      <w:lvlJc w:val="left"/>
      <w:pPr>
        <w:ind w:left="2736" w:hanging="576"/>
      </w:pPr>
    </w:lvl>
    <w:lvl w:ilvl="4">
      <w:start w:val="1"/>
      <w:numFmt w:val="bullet"/>
      <w:lvlText w:val="● "/>
      <w:lvlJc w:val="left"/>
      <w:pPr>
        <w:ind w:left="3456" w:hanging="576"/>
      </w:pPr>
    </w:lvl>
    <w:lvl w:ilvl="5">
      <w:start w:val="1"/>
      <w:numFmt w:val="bullet"/>
      <w:lvlText w:val="○ "/>
      <w:lvlJc w:val="left"/>
      <w:pPr>
        <w:ind w:left="4176" w:hanging="576"/>
      </w:pPr>
    </w:lvl>
    <w:lvl w:ilvl="6">
      <w:start w:val="1"/>
      <w:numFmt w:val="bullet"/>
      <w:lvlText w:val="● "/>
      <w:lvlJc w:val="left"/>
      <w:pPr>
        <w:ind w:left="4896" w:hanging="576"/>
      </w:pPr>
    </w:lvl>
    <w:lvl w:ilvl="7">
      <w:start w:val="1"/>
      <w:numFmt w:val="bullet"/>
      <w:lvlText w:val="○ "/>
      <w:lvlJc w:val="left"/>
      <w:pPr>
        <w:ind w:left="5616" w:hanging="576"/>
      </w:pPr>
    </w:lvl>
    <w:lvl w:ilvl="8">
      <w:start w:val="1"/>
      <w:numFmt w:val="bullet"/>
      <w:lvlText w:val="● "/>
      <w:lvlJc w:val="left"/>
      <w:pPr>
        <w:ind w:left="6336" w:hanging="576"/>
      </w:pPr>
    </w:lvl>
  </w:abstractNum>
  <w:num w:numId="1">
    <w:abstractNumId w:val="0"/>
  </w:num>
  <w:num w:numId="2">
    <w:abstractNumId w:val="1"/>
  </w:num>
  <w:num w:numId="3">
    <w:abstractNumId w:val="0"/>
    <w:lvlOverride w:ilvl="0">
      <w:startOverride w:val="1"/>
    </w:lvlOverride>
  </w:num>
  <w:num w:numId="4">
    <w:abstractNumId w:val="0"/>
    <w:lvlOverride w:ilvl="0">
      <w:startOverride w:val="1"/>
    </w:lvlOverride>
  </w:num>
  <w:num w:numId="5">
    <w:abstractNumId w:val="1"/>
  </w:num>
  <w:num w:numId="6">
    <w:abstractNumId w:val="2"/>
  </w:num>
  <w:num w:numId="7">
    <w:abstractNumId w:val="1"/>
    <w:lvlOverride w:ilvl="0">
      <w:startOverride w:val="1"/>
    </w:lvlOverride>
  </w:num>
  <w:num w:numId="8">
    <w:abstractNumId w:val="1"/>
    <w:lvlOverride w:ilvl="0">
      <w:startOverride w:val="1"/>
    </w:lvlOverride>
  </w:num>
  <w:num w:numId="9">
    <w:abstractNumId w:val="2"/>
  </w:num>
  <w:num w:numId="10">
    <w:abstractNumId w:val="3"/>
  </w:num>
  <w:num w:numId="11">
    <w:abstractNumId w:val="2"/>
    <w:lvlOverride w:ilvl="0">
      <w:startOverride w:val="1"/>
    </w:lvlOverride>
  </w:num>
  <w:num w:numId="12">
    <w:abstractNumId w:val="2"/>
    <w:lvlOverride w:ilvl="0">
      <w:startOverride w:val="1"/>
    </w:lvlOverride>
  </w:num>
  <w:num w:numId="13">
    <w:abstractNumId w:val="4"/>
  </w:num>
  <w:num w:numId="14">
    <w:abstractNumId w:val="5"/>
  </w:num>
  <w:num w:numId="15">
    <w:abstractNumId w:val="4"/>
    <w:lvlOverride w:ilvl="0">
      <w:startOverride w:val="1"/>
    </w:lvlOverride>
  </w:num>
</w:numbering>
</file>

<file path=word/settings.xml><?xml version="1.0" encoding="utf-8"?>
<w:settings xmlns:wp="http://schemas.openxmlformats.org/drawingml/2006/wordprocessingDrawing" xmlns:r="http://schemas.openxmlformats.org/officeDocument/2006/relationships" xmlns:a="http://schemas.openxmlformats.org/drawingml/2006/main" xmlns:w="http://schemas.openxmlformats.org/wordprocess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B13"/>
    <w:rsid w:val="000C4315"/>
    <w:rsid w:val="001210AF"/>
    <w:rsid w:val="001B748F"/>
    <w:rsid w:val="00225013"/>
    <w:rsid w:val="00345B4B"/>
    <w:rsid w:val="003976E6"/>
    <w:rsid w:val="00541582"/>
    <w:rsid w:val="00607D52"/>
    <w:rsid w:val="0064063D"/>
    <w:rsid w:val="006536A5"/>
    <w:rsid w:val="006B7962"/>
    <w:rsid w:val="006F73DB"/>
    <w:rsid w:val="007106DD"/>
    <w:rsid w:val="00837FA9"/>
    <w:rsid w:val="0084466A"/>
    <w:rsid w:val="00870033"/>
    <w:rsid w:val="00874F33"/>
    <w:rsid w:val="009562FB"/>
    <w:rsid w:val="00974A8F"/>
    <w:rsid w:val="009866B5"/>
    <w:rsid w:val="00A36A0B"/>
    <w:rsid w:val="00AF48B1"/>
    <w:rsid w:val="00BC0000"/>
    <w:rsid w:val="00BD7B13"/>
    <w:rsid w:val="00C36E4B"/>
    <w:rsid w:val="00CB4D65"/>
    <w:rsid w:val="00DA3BF0"/>
    <w:rsid w:val="00DD5B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spidmax="1026" v:ext="edit"/>
    <o:shapelayout v:ext="edit">
      <o:idmap data="1" v:ext="edit"/>
    </o:shapelayout>
  </w:shapeDefaults>
  <w:decimalSymbol w:val="."/>
  <w:listSeparator w:val=","/>
</w:settings>
</file>

<file path=word/styles.xml><?xml version="1.0" encoding="utf-8"?>
<w:styles xmlns:wp="http://schemas.openxmlformats.org/drawingml/2006/wordprocessingDrawing" xmlns:r="http://schemas.openxmlformats.org/officeDocument/2006/relationships" xmlns:a="http://schemas.openxmlformats.org/drawingml/2006/main" xmlns:w="http://schemas.openxmlformats.org/wordprocessingml/2006/main" xmlns:w14="http://schemas.microsoft.com/office/word/2010/wordml" xmlns:m="http://schemas.openxmlformats.org/officeDocument/2006/math"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Normal" w:default="true">
    <w:name w:val="Normal"/>
    <w:basedOn w:val="DocDefaults"/>
    <w:next w:val="NoSpacing"/>
    <w:qFormat/>
    <w:rsid w:val="00870033"/>
    <w:rPr>
      <w:rFonts w:ascii="Times New Roman" w:hAnsi="Times New Roman"/>
    </w:rPr>
  </w:style>
  <w:style w:type="paragraph" w:styleId="Heading1">
    <w:name w:val="heading 1"/>
    <w:basedOn w:val="Normal"/>
    <w:next w:val="Normal"/>
    <w:link w:val="Heading1Char"/>
    <w:uiPriority w:val="9"/>
    <w:qFormat/>
    <w:rsid w:val="00870033"/>
    <w:pPr>
      <w:keepNext/>
      <w:keepLines/>
      <w:spacing w:before="220" w:after="220"/>
      <w:outlineLvl w:val="0"/>
    </w:pPr>
    <w:rPr>
      <w:rFonts w:eastAsiaTheme="majorEastAsia" w:cstheme="majorBidi"/>
      <w:b/>
      <w:bCs/>
      <w:color w:val="17365D" w:themeColor="text2" w:themeShade="BF"/>
      <w:sz w:val="28"/>
      <w:szCs w:val="28"/>
    </w:rPr>
  </w:style>
  <w:style w:type="paragraph" w:styleId="Heading2">
    <w:name w:val="heading 2"/>
    <w:basedOn w:val="Normal"/>
    <w:next w:val="NoSpacing"/>
    <w:link w:val="Heading2Char"/>
    <w:uiPriority w:val="9"/>
    <w:unhideWhenUsed/>
    <w:qFormat/>
    <w:rsid w:val="00870033"/>
    <w:pPr>
      <w:keepNext/>
      <w:keepLines/>
      <w:spacing w:after="0"/>
      <w:outlineLvl w:val="1"/>
    </w:pPr>
    <w:rPr>
      <w:rFonts w:eastAsiaTheme="majorEastAsia" w:cstheme="majorBidi"/>
      <w:b/>
      <w:bCs/>
      <w:sz w:val="24"/>
      <w:szCs w:val="26"/>
    </w:rPr>
  </w:style>
  <w:style w:type="paragraph" w:styleId="Heading3">
    <w:name w:val="heading 3"/>
    <w:basedOn w:val="Normal"/>
    <w:next w:val="Normal"/>
    <w:link w:val="Heading3Char"/>
    <w:uiPriority w:val="9"/>
    <w:unhideWhenUsed/>
    <w:qFormat/>
    <w:rsid w:val="00870033"/>
    <w:pPr>
      <w:keepNext/>
      <w:keepLines/>
      <w:spacing w:before="200" w:after="0"/>
      <w:outlineLvl w:val="2"/>
    </w:pPr>
    <w:rPr>
      <w:rFonts w:eastAsiaTheme="majorEastAsia" w:cstheme="majorBidi"/>
      <w:b/>
      <w:bCs/>
      <w:color w:val="4F81BD" w:themeColor="accent1"/>
    </w:rPr>
  </w:style>
  <w:style w:type="character" w:styleId="DefaultParagraphFont" w:default="true">
    <w:name w:val="Default Paragraph Font"/>
    <w:uiPriority w:val="1"/>
    <w:semiHidden/>
    <w:unhideWhenUsed/>
  </w:style>
  <w:style w:type="table" w:styleId="TableNormal" w:default="true">
    <w:name w:val="Normal Table"/>
    <w:uiPriority w:val="99"/>
    <w:semiHidden/>
    <w:unhideWhenUsed/>
    <w:tblPr>
      <w:tblInd w:w="0" w:type="dxa"/>
      <w:tblCellMar>
        <w:top w:w="0" w:type="dxa"/>
        <w:left w:w="108" w:type="dxa"/>
        <w:bottom w:w="0" w:type="dxa"/>
        <w:right w:w="108" w:type="dxa"/>
      </w:tblCellMar>
    </w:tblPr>
  </w:style>
  <w:style w:type="numbering" w:styleId="NoList" w:default="true">
    <w:name w:val="No List"/>
    <w:uiPriority w:val="99"/>
    <w:semiHidden/>
    <w:unhideWhenUsed/>
  </w:style>
  <w:style w:type="paragraph" w:styleId="Title">
    <w:name w:val="Title"/>
    <w:basedOn w:val="Normal"/>
    <w:next w:val="Normal"/>
    <w:link w:val="TitleChar"/>
    <w:uiPriority w:val="10"/>
    <w:qFormat/>
    <w:rsid w:val="0084466A"/>
    <w:pPr>
      <w:spacing w:after="300" w:line="240" w:lineRule="auto"/>
      <w:contextualSpacing/>
      <w:jc w:val="center"/>
    </w:pPr>
    <w:rPr>
      <w:rFonts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466A"/>
    <w:rPr>
      <w:rFonts w:asciiTheme="majorHAnsi" w:hAnsiTheme="majorHAnsi" w:eastAsiaTheme="majorEastAsia" w:cstheme="majorBidi"/>
      <w:color w:val="17365D" w:themeColor="text2" w:themeShade="BF"/>
      <w:spacing w:val="5"/>
      <w:kern w:val="28"/>
      <w:sz w:val="52"/>
      <w:szCs w:val="52"/>
    </w:rPr>
  </w:style>
  <w:style w:type="paragraph" w:styleId="Subtitle">
    <w:name w:val="Subtitle"/>
    <w:basedOn w:val="NoSpacing"/>
    <w:next w:val="NoSpacing"/>
    <w:link w:val="SubtitleChar"/>
    <w:uiPriority w:val="11"/>
    <w:qFormat/>
    <w:rsid w:val="0084466A"/>
    <w:pPr>
      <w:numPr>
        <w:ilvl w:val="1"/>
      </w:numPr>
      <w:jc w:val="center"/>
    </w:pPr>
    <w:rPr>
      <w:rFonts w:eastAsiaTheme="majorEastAsia" w:cstheme="majorBidi"/>
      <w:iCs/>
      <w:color w:val="365F91" w:themeColor="accent1" w:themeShade="BF"/>
      <w:spacing w:val="15"/>
      <w:sz w:val="36"/>
      <w:szCs w:val="24"/>
    </w:rPr>
  </w:style>
  <w:style w:type="character" w:styleId="SubtitleChar" w:customStyle="true">
    <w:name w:val="Subtitle Char"/>
    <w:basedOn w:val="DefaultParagraphFont"/>
    <w:link w:val="Subtitle"/>
    <w:uiPriority w:val="11"/>
    <w:rsid w:val="0084466A"/>
    <w:rPr>
      <w:rFonts w:asciiTheme="majorHAnsi" w:hAnsiTheme="majorHAnsi" w:eastAsiaTheme="majorEastAsia" w:cstheme="majorBidi"/>
      <w:iCs/>
      <w:color w:val="365F91" w:themeColor="accent1" w:themeShade="BF"/>
      <w:spacing w:val="15"/>
      <w:sz w:val="36"/>
      <w:szCs w:val="24"/>
    </w:rPr>
  </w:style>
  <w:style w:type="paragraph" w:styleId="NoSpacing">
    <w:name w:val="No Spacing"/>
    <w:uiPriority w:val="1"/>
    <w:qFormat/>
    <w:rsid w:val="00870033"/>
    <w:pPr>
      <w:spacing w:after="0" w:line="240" w:lineRule="auto"/>
    </w:pPr>
    <w:rPr>
      <w:rFonts w:ascii="Times New Roman" w:hAnsi="Times New Roman"/>
    </w:rPr>
  </w:style>
  <w:style w:type="character" w:styleId="Heading1Char" w:customStyle="true">
    <w:name w:val="Heading 1 Char"/>
    <w:basedOn w:val="DefaultParagraphFont"/>
    <w:link w:val="Heading1"/>
    <w:uiPriority w:val="9"/>
    <w:rsid w:val="00870033"/>
    <w:rPr>
      <w:rFonts w:ascii="Times New Roman" w:hAnsi="Times New Roman" w:eastAsiaTheme="majorEastAsia" w:cstheme="majorBidi"/>
      <w:b/>
      <w:bCs/>
      <w:color w:val="17365D" w:themeColor="text2" w:themeShade="BF"/>
      <w:sz w:val="28"/>
      <w:szCs w:val="28"/>
    </w:rPr>
  </w:style>
  <w:style w:type="character" w:styleId="Heading2Char" w:customStyle="true">
    <w:name w:val="Heading 2 Char"/>
    <w:basedOn w:val="DefaultParagraphFont"/>
    <w:link w:val="Heading2"/>
    <w:uiPriority w:val="9"/>
    <w:rsid w:val="00870033"/>
    <w:rPr>
      <w:rFonts w:ascii="Times New Roman" w:hAnsi="Times New Roman" w:eastAsiaTheme="majorEastAsia" w:cstheme="majorBidi"/>
      <w:b/>
      <w:bCs/>
      <w:sz w:val="24"/>
      <w:szCs w:val="26"/>
    </w:rPr>
  </w:style>
  <w:style w:type="paragraph" w:styleId="DocDefaults" w:customStyle="true">
    <w:name w:val="DocDefaults"/>
  </w:style>
  <w:style w:type="paragraph" w:styleId="BalloonText">
    <w:name w:val="Balloon Text"/>
    <w:basedOn w:val="Normal"/>
    <w:link w:val="BalloonTextChar"/>
    <w:uiPriority w:val="99"/>
    <w:semiHidden/>
    <w:unhideWhenUsed/>
    <w:rsid w:val="000C4315"/>
    <w:pPr>
      <w:spacing w:after="0" w:line="240" w:lineRule="auto"/>
    </w:pPr>
    <w:rPr>
      <w:rFonts w:ascii="Tahoma" w:hAnsi="Tahoma" w:cs="Tahoma"/>
      <w:sz w:val="16"/>
      <w:szCs w:val="16"/>
    </w:rPr>
  </w:style>
  <w:style w:type="character" w:styleId="BalloonTextChar" w:customStyle="true">
    <w:name w:val="Balloon Text Char"/>
    <w:basedOn w:val="DefaultParagraphFont"/>
    <w:link w:val="BalloonText"/>
    <w:uiPriority w:val="99"/>
    <w:semiHidden/>
    <w:rsid w:val="000C4315"/>
    <w:rPr>
      <w:rFonts w:ascii="Tahoma" w:hAnsi="Tahoma" w:cs="Tahoma"/>
      <w:sz w:val="16"/>
      <w:szCs w:val="16"/>
    </w:rPr>
  </w:style>
  <w:style w:type="paragraph" w:styleId="DocDefaults0" w:customStyle="true">
    <w:name w:val="DocDefaults"/>
  </w:style>
  <w:style w:type="paragraph" w:styleId="DocDefaults1" w:customStyle="true">
    <w:name w:val="DocDefaults"/>
  </w:style>
  <w:style w:type="paragraph" w:styleId="Header">
    <w:name w:val="header"/>
    <w:basedOn w:val="Normal"/>
    <w:link w:val="HeaderChar"/>
    <w:uiPriority w:val="99"/>
    <w:unhideWhenUsed/>
    <w:rsid w:val="00CB4D65"/>
    <w:pPr>
      <w:tabs>
        <w:tab w:val="center" w:pos="4680"/>
        <w:tab w:val="right" w:pos="9360"/>
      </w:tabs>
      <w:spacing w:after="0" w:line="240" w:lineRule="auto"/>
    </w:pPr>
  </w:style>
  <w:style w:type="character" w:styleId="HeaderChar" w:customStyle="true">
    <w:name w:val="Header Char"/>
    <w:basedOn w:val="DefaultParagraphFont"/>
    <w:link w:val="Header"/>
    <w:uiPriority w:val="99"/>
    <w:rsid w:val="00CB4D65"/>
    <w:rPr>
      <w:rFonts w:asciiTheme="majorHAnsi" w:hAnsiTheme="majorHAnsi"/>
    </w:rPr>
  </w:style>
  <w:style w:type="paragraph" w:styleId="Footer">
    <w:name w:val="footer"/>
    <w:basedOn w:val="Normal"/>
    <w:link w:val="FooterChar"/>
    <w:uiPriority w:val="99"/>
    <w:unhideWhenUsed/>
    <w:rsid w:val="00CB4D65"/>
    <w:pPr>
      <w:tabs>
        <w:tab w:val="center" w:pos="4680"/>
        <w:tab w:val="right" w:pos="9360"/>
      </w:tabs>
      <w:spacing w:after="0" w:line="240" w:lineRule="auto"/>
    </w:pPr>
  </w:style>
  <w:style w:type="character" w:styleId="FooterChar" w:customStyle="true">
    <w:name w:val="Footer Char"/>
    <w:basedOn w:val="DefaultParagraphFont"/>
    <w:link w:val="Footer"/>
    <w:uiPriority w:val="99"/>
    <w:rsid w:val="00CB4D65"/>
    <w:rPr>
      <w:rFonts w:asciiTheme="majorHAnsi" w:hAnsiTheme="majorHAnsi"/>
    </w:rPr>
  </w:style>
  <w:style w:type="character" w:styleId="Heading3Char" w:customStyle="true">
    <w:name w:val="Heading 3 Char"/>
    <w:basedOn w:val="DefaultParagraphFont"/>
    <w:link w:val="Heading3"/>
    <w:uiPriority w:val="9"/>
    <w:rsid w:val="00870033"/>
    <w:rPr>
      <w:rFonts w:ascii="Times New Roman" w:hAnsi="Times New Roman" w:eastAsiaTheme="majorEastAsia" w:cstheme="majorBidi"/>
      <w:b/>
      <w:bCs/>
      <w:color w:val="4F81BD" w:themeColor="accent1"/>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stylesWithEffects.xml><?xml version="1.0" encoding="utf-8"?>
<w:style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rFonts w:asciiTheme="minorHAnsi" w:cstheme="minorBidi" w:eastAsiaTheme="minorHAnsi" w:hAnsiTheme="minorHAnsi"/>
        <w:sz w:val="22"/>
        <w:szCs w:val="22"/>
        <w:lang w:bidi="ar-SA" w:eastAsia="en-US" w:val="en-US"/>
      </w:rPr>
    </w:rPrDefault>
    <w:pPrDefault>
      <w:pPr>
        <w:spacing w:after="200" w:line="276" w:lineRule="auto"/>
      </w:pPr>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next w:val="NoSpacing"/>
    <w:qFormat/>
    <w:rsid w:val="00870033"/>
    <w:rPr>
      <w:rFonts w:ascii="Times New Roman" w:hAnsi="Times New Roman"/>
    </w:rPr>
  </w:style>
  <w:style w:styleId="Heading1" w:type="paragraph">
    <w:name w:val="heading 1"/>
    <w:basedOn w:val="Normal"/>
    <w:next w:val="Normal"/>
    <w:link w:val="Heading1Char"/>
    <w:uiPriority w:val="9"/>
    <w:qFormat/>
    <w:rsid w:val="00870033"/>
    <w:pPr>
      <w:keepNext/>
      <w:keepLines/>
      <w:spacing w:after="220" w:before="220"/>
      <w:outlineLvl w:val="0"/>
    </w:pPr>
    <w:rPr>
      <w:rFonts w:cstheme="majorBidi" w:eastAsiaTheme="majorEastAsia"/>
      <w:b/>
      <w:bCs/>
      <w:color w:themeColor="text2" w:themeShade="BF" w:val="17365D"/>
      <w:sz w:val="28"/>
      <w:szCs w:val="28"/>
    </w:rPr>
  </w:style>
  <w:style w:styleId="Heading2" w:type="paragraph">
    <w:name w:val="heading 2"/>
    <w:basedOn w:val="Normal"/>
    <w:next w:val="NoSpacing"/>
    <w:link w:val="Heading2Char"/>
    <w:uiPriority w:val="9"/>
    <w:unhideWhenUsed/>
    <w:qFormat/>
    <w:rsid w:val="00870033"/>
    <w:pPr>
      <w:keepNext/>
      <w:keepLines/>
      <w:spacing w:after="0"/>
      <w:outlineLvl w:val="1"/>
    </w:pPr>
    <w:rPr>
      <w:rFonts w:cstheme="majorBidi" w:eastAsiaTheme="majorEastAsia"/>
      <w:b/>
      <w:bCs/>
      <w:sz w:val="24"/>
      <w:szCs w:val="26"/>
    </w:rPr>
  </w:style>
  <w:style w:styleId="Heading3" w:type="paragraph">
    <w:name w:val="heading 3"/>
    <w:basedOn w:val="Normal"/>
    <w:next w:val="Normal"/>
    <w:link w:val="Heading3Char"/>
    <w:uiPriority w:val="9"/>
    <w:unhideWhenUsed/>
    <w:qFormat/>
    <w:rsid w:val="00870033"/>
    <w:pPr>
      <w:keepNext/>
      <w:keepLines/>
      <w:spacing w:after="0" w:before="200"/>
      <w:outlineLvl w:val="2"/>
    </w:pPr>
    <w:rPr>
      <w:rFonts w:cstheme="majorBidi" w:eastAsiaTheme="majorEastAsia"/>
      <w:b/>
      <w:bCs/>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Title" w:type="paragraph">
    <w:name w:val="Title"/>
    <w:basedOn w:val="Normal"/>
    <w:next w:val="Normal"/>
    <w:link w:val="TitleChar"/>
    <w:uiPriority w:val="10"/>
    <w:qFormat/>
    <w:rsid w:val="0084466A"/>
    <w:pPr>
      <w:spacing w:after="300" w:line="240" w:lineRule="auto"/>
      <w:contextualSpacing/>
      <w:jc w:val="center"/>
    </w:pPr>
    <w:rPr>
      <w:rFonts w:cstheme="majorBidi" w:eastAsiaTheme="majorEastAsia"/>
      <w:color w:themeColor="text2" w:themeShade="BF" w:val="17365D"/>
      <w:spacing w:val="5"/>
      <w:kern w:val="28"/>
      <w:sz w:val="52"/>
      <w:szCs w:val="52"/>
    </w:rPr>
  </w:style>
  <w:style w:customStyle="1" w:styleId="TitleChar" w:type="character">
    <w:name w:val="Title Char"/>
    <w:basedOn w:val="DefaultParagraphFont"/>
    <w:link w:val="Title"/>
    <w:uiPriority w:val="10"/>
    <w:rsid w:val="0084466A"/>
    <w:rPr>
      <w:rFonts w:asciiTheme="majorHAnsi" w:cstheme="majorBidi" w:eastAsiaTheme="majorEastAsia" w:hAnsiTheme="majorHAnsi"/>
      <w:color w:themeColor="text2" w:themeShade="BF" w:val="17365D"/>
      <w:spacing w:val="5"/>
      <w:kern w:val="28"/>
      <w:sz w:val="52"/>
      <w:szCs w:val="52"/>
    </w:rPr>
  </w:style>
  <w:style w:styleId="Subtitle" w:type="paragraph">
    <w:name w:val="Subtitle"/>
    <w:basedOn w:val="NoSpacing"/>
    <w:next w:val="NoSpacing"/>
    <w:link w:val="SubtitleChar"/>
    <w:uiPriority w:val="11"/>
    <w:qFormat/>
    <w:rsid w:val="0084466A"/>
    <w:pPr>
      <w:numPr>
        <w:ilvl w:val="1"/>
      </w:numPr>
      <w:jc w:val="center"/>
    </w:pPr>
    <w:rPr>
      <w:rFonts w:cstheme="majorBidi" w:eastAsiaTheme="majorEastAsia"/>
      <w:iCs/>
      <w:color w:themeColor="accent1" w:themeShade="BF" w:val="365F91"/>
      <w:spacing w:val="15"/>
      <w:sz w:val="36"/>
      <w:szCs w:val="24"/>
    </w:rPr>
  </w:style>
  <w:style w:customStyle="1" w:styleId="SubtitleChar" w:type="character">
    <w:name w:val="Subtitle Char"/>
    <w:basedOn w:val="DefaultParagraphFont"/>
    <w:link w:val="Subtitle"/>
    <w:uiPriority w:val="11"/>
    <w:rsid w:val="0084466A"/>
    <w:rPr>
      <w:rFonts w:asciiTheme="majorHAnsi" w:cstheme="majorBidi" w:eastAsiaTheme="majorEastAsia" w:hAnsiTheme="majorHAnsi"/>
      <w:iCs/>
      <w:color w:themeColor="accent1" w:themeShade="BF" w:val="365F91"/>
      <w:spacing w:val="15"/>
      <w:sz w:val="36"/>
      <w:szCs w:val="24"/>
    </w:rPr>
  </w:style>
  <w:style w:styleId="NoSpacing" w:type="paragraph">
    <w:name w:val="No Spacing"/>
    <w:uiPriority w:val="1"/>
    <w:qFormat/>
    <w:rsid w:val="00870033"/>
    <w:pPr>
      <w:spacing w:after="0" w:line="240" w:lineRule="auto"/>
    </w:pPr>
    <w:rPr>
      <w:rFonts w:ascii="Times New Roman" w:hAnsi="Times New Roman"/>
    </w:rPr>
  </w:style>
  <w:style w:customStyle="1" w:styleId="Heading1Char" w:type="character">
    <w:name w:val="Heading 1 Char"/>
    <w:basedOn w:val="DefaultParagraphFont"/>
    <w:link w:val="Heading1"/>
    <w:uiPriority w:val="9"/>
    <w:rsid w:val="00870033"/>
    <w:rPr>
      <w:rFonts w:ascii="Times New Roman" w:cstheme="majorBidi" w:eastAsiaTheme="majorEastAsia" w:hAnsi="Times New Roman"/>
      <w:b/>
      <w:bCs/>
      <w:color w:themeColor="text2" w:themeShade="BF" w:val="17365D"/>
      <w:sz w:val="28"/>
      <w:szCs w:val="28"/>
    </w:rPr>
  </w:style>
  <w:style w:customStyle="1" w:styleId="Heading2Char" w:type="character">
    <w:name w:val="Heading 2 Char"/>
    <w:basedOn w:val="DefaultParagraphFont"/>
    <w:link w:val="Heading2"/>
    <w:uiPriority w:val="9"/>
    <w:rsid w:val="00870033"/>
    <w:rPr>
      <w:rFonts w:ascii="Times New Roman" w:cstheme="majorBidi" w:eastAsiaTheme="majorEastAsia" w:hAnsi="Times New Roman"/>
      <w:b/>
      <w:bCs/>
      <w:sz w:val="24"/>
      <w:szCs w:val="26"/>
    </w:rPr>
  </w:style>
  <w:style w:customStyle="1" w:styleId="DocDefaults" w:type="paragraph">
    <w:name w:val="DocDefaults"/>
  </w:style>
  <w:style w:styleId="BalloonText" w:type="paragraph">
    <w:name w:val="Balloon Text"/>
    <w:basedOn w:val="Normal"/>
    <w:link w:val="BalloonTextChar"/>
    <w:uiPriority w:val="99"/>
    <w:semiHidden/>
    <w:unhideWhenUsed/>
    <w:rsid w:val="000C4315"/>
    <w:pPr>
      <w:spacing w:after="0" w:line="240" w:lineRule="auto"/>
    </w:pPr>
    <w:rPr>
      <w:rFonts w:ascii="Tahoma" w:cs="Tahoma" w:hAnsi="Tahoma"/>
      <w:sz w:val="16"/>
      <w:szCs w:val="16"/>
    </w:rPr>
  </w:style>
  <w:style w:customStyle="1" w:styleId="BalloonTextChar" w:type="character">
    <w:name w:val="Balloon Text Char"/>
    <w:basedOn w:val="DefaultParagraphFont"/>
    <w:link w:val="BalloonText"/>
    <w:uiPriority w:val="99"/>
    <w:semiHidden/>
    <w:rsid w:val="000C4315"/>
    <w:rPr>
      <w:rFonts w:ascii="Tahoma" w:cs="Tahoma" w:hAnsi="Tahoma"/>
      <w:sz w:val="16"/>
      <w:szCs w:val="16"/>
    </w:rPr>
  </w:style>
  <w:style w:customStyle="1" w:styleId="DocDefaults0" w:type="paragraph">
    <w:name w:val="DocDefaults"/>
  </w:style>
  <w:style w:customStyle="1" w:styleId="DocDefaults1" w:type="paragraph">
    <w:name w:val="DocDefaults"/>
  </w:style>
  <w:style w:styleId="Header" w:type="paragraph">
    <w:name w:val="header"/>
    <w:basedOn w:val="Normal"/>
    <w:link w:val="HeaderChar"/>
    <w:uiPriority w:val="99"/>
    <w:unhideWhenUsed/>
    <w:rsid w:val="00CB4D65"/>
    <w:pPr>
      <w:tabs>
        <w:tab w:pos="4680" w:val="center"/>
        <w:tab w:pos="9360" w:val="right"/>
      </w:tabs>
      <w:spacing w:after="0" w:line="240" w:lineRule="auto"/>
    </w:pPr>
  </w:style>
  <w:style w:customStyle="1" w:styleId="HeaderChar" w:type="character">
    <w:name w:val="Header Char"/>
    <w:basedOn w:val="DefaultParagraphFont"/>
    <w:link w:val="Header"/>
    <w:uiPriority w:val="99"/>
    <w:rsid w:val="00CB4D65"/>
    <w:rPr>
      <w:rFonts w:asciiTheme="majorHAnsi" w:hAnsiTheme="majorHAnsi"/>
    </w:rPr>
  </w:style>
  <w:style w:styleId="Footer" w:type="paragraph">
    <w:name w:val="footer"/>
    <w:basedOn w:val="Normal"/>
    <w:link w:val="FooterChar"/>
    <w:uiPriority w:val="99"/>
    <w:unhideWhenUsed/>
    <w:rsid w:val="00CB4D65"/>
    <w:pPr>
      <w:tabs>
        <w:tab w:pos="4680" w:val="center"/>
        <w:tab w:pos="9360" w:val="right"/>
      </w:tabs>
      <w:spacing w:after="0" w:line="240" w:lineRule="auto"/>
    </w:pPr>
  </w:style>
  <w:style w:customStyle="1" w:styleId="FooterChar" w:type="character">
    <w:name w:val="Footer Char"/>
    <w:basedOn w:val="DefaultParagraphFont"/>
    <w:link w:val="Footer"/>
    <w:uiPriority w:val="99"/>
    <w:rsid w:val="00CB4D65"/>
    <w:rPr>
      <w:rFonts w:asciiTheme="majorHAnsi" w:hAnsiTheme="majorHAnsi"/>
    </w:rPr>
  </w:style>
  <w:style w:customStyle="1" w:styleId="Heading3Char" w:type="character">
    <w:name w:val="Heading 3 Char"/>
    <w:basedOn w:val="DefaultParagraphFont"/>
    <w:link w:val="Heading3"/>
    <w:uiPriority w:val="9"/>
    <w:rsid w:val="00870033"/>
    <w:rPr>
      <w:rFonts w:ascii="Times New Roman" w:cstheme="majorBidi" w:eastAsiaTheme="majorEastAsia" w:hAnsi="Times New Roman"/>
      <w:b/>
      <w:bCs/>
      <w:color w:themeColor="accent1"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Target="fontTable.xml" Type="http://schemas.openxmlformats.org/officeDocument/2006/relationships/fontTable" Id="rId8"></Relationship><Relationship Target="stylesWithEffects.xml" Type="http://schemas.microsoft.com/office/2007/relationships/stylesWithEffects" Id="rId3"></Relationship><Relationship Target="endnotes.xml" Type="http://schemas.openxmlformats.org/officeDocument/2006/relationships/endnotes" Id="rId7"></Relationship><Relationship Target="styles.xml" Type="http://schemas.openxmlformats.org/officeDocument/2006/relationships/styles" Id="rId2"></Relationship><Relationship Target="numbering.xml" Type="http://schemas.openxmlformats.org/officeDocument/2006/relationships/numbering" Id="rId1"></Relationship><Relationship Target="footnotes.xml" Type="http://schemas.openxmlformats.org/officeDocument/2006/relationships/footnotes" Id="rId6"></Relationship><Relationship Target="webSettings.xml" Type="http://schemas.openxmlformats.org/officeDocument/2006/relationships/webSettings" Id="rId5"></Relationship><Relationship Target="settings.xml" Type="http://schemas.openxmlformats.org/officeDocument/2006/relationships/settings" Id="rId4"></Relationship><Relationship Target="theme/theme1.xml" Type="http://schemas.openxmlformats.org/officeDocument/2006/relationships/theme" Id="rId9"></Relationship><Relationship TargetMode="External" Target="http://healthcaredelivery.cancer.gov/cgi-bin-pubsearch/pubsearch/index.pl?simple_search=&amp;searchOpt=and&amp;initiative=SEERM" Type="http://schemas.openxmlformats.org/officeDocument/2006/relationships/hyperlink" Id="rId10"/><Relationship Target="media/document_image_rId11.png" Type="http://schemas.openxmlformats.org/officeDocument/2006/relationships/image" Id="rId11"/><Relationship Target="media/document_image_rId12.png" Type="http://schemas.openxmlformats.org/officeDocument/2006/relationships/image" Id="rId12"/><Relationship Target="media/document_image_rId13.png" Type="http://schemas.openxmlformats.org/officeDocument/2006/relationships/image" Id="rId13"/><Relationship Target="media/document_image_rId14.png" Type="http://schemas.openxmlformats.org/officeDocument/2006/relationships/image" Id="rId14"/><Relationship Target="media/document_image_rId15.png" Type="http://schemas.openxmlformats.org/officeDocument/2006/relationships/image" Id="rId15"/><Relationship Target="media/document_image_rId16.png" Type="http://schemas.openxmlformats.org/officeDocument/2006/relationships/image" Id="rId16"/><Relationship Target="media/document_image_rId17.png" Type="http://schemas.openxmlformats.org/officeDocument/2006/relationships/image" Id="rId17"/><Relationship Target="media/document_image_rId18.png" Type="http://schemas.openxmlformats.org/officeDocument/2006/relationships/image" Id="rId18"/><Relationship Target="media/document_image_rId19.png" Type="http://schemas.openxmlformats.org/officeDocument/2006/relationships/image" Id="rId19"/><Relationship Target="media/document_image_rId20.png" Type="http://schemas.openxmlformats.org/officeDocument/2006/relationships/image" Id="rId20"/><Relationship Target="media/document_image_rId21.png" Type="http://schemas.openxmlformats.org/officeDocument/2006/relationships/image" Id="rId21"/><Relationship TargetMode="External" Target="http://www.outins.com/" Type="http://schemas.openxmlformats.org/officeDocument/2006/relationships/hyperlink" Id="rId22"/></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2">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Properties xmlns:vt="http://schemas.openxmlformats.org/officeDocument/2006/docPropsVTypes" xmlns:properties="http://schemas.openxmlformats.org/officeDocument/2006/extended-properties">
  <properties:Template>Normal</properties:Template>
  <properties:Company/>
  <properties:Pages>1</properties:Pages>
  <properties:Words>0</properties:Words>
  <properties:Characters>1</properties:Characters>
  <properties:Lines>1</properties:Lines>
  <properties:Paragraphs>1</properties:Paragraphs>
  <properties:TotalTime>6</properties:TotalTime>
  <properties:ScaleCrop>false</properties:ScaleCrop>
  <properties:HeadingPairs>
    <vt:vector baseType="variant" size="2">
      <vt:variant>
        <vt:lpstr>Title</vt:lpstr>
      </vt:variant>
      <vt:variant>
        <vt:i4>1</vt:i4>
      </vt:variant>
    </vt:vector>
  </properties:HeadingPairs>
  <properties:TitlesOfParts>
    <vt:vector baseType="lpstr" size="1">
      <vt:lpstr>SEERMedicare.docx</vt:lpstr>
    </vt:vector>
  </properties:TitlesOfParts>
  <properties:LinksUpToDate>false</properties:LinksUpToDate>
  <properties:CharactersWithSpaces>1</properties:CharactersWithSpaces>
  <properties:SharedDoc>false</properties:SharedDoc>
  <properties:HyperlinksChanged>false</properties:HyperlinksChanged>
  <properties:Application>docx4j</properties:Application>
  <properties:AppVersion>3.0</properties:AppVersion>
  <properties:DocSecurity>0</properties:DocSecurity>
</properties:Properties>
</file>

<file path=docProps/core.xml><?xml version="1.0" encoding="utf-8"?>
<cp:coreProperties xmlns:cp="http://schemas.openxmlformats.org/package/2006/metadata/core-properties" xmlns:dcterms="http://purl.org/dc/terms/" xmlns:dc="http://purl.org/dc/elements/1.1/">
  <dcterms:created xmlns:xsi="http://www.w3.org/2001/XMLSchema-instance" xsi:type="dcterms:W3CDTF">2015-03-25T22:43:00Z</dcterms:created>
  <dc:creator>DESKTOP-6RBGUGK/Marc on computer DESKTOP-6RBGUGK</dc:creator>
  <cp:lastModifiedBy>docx4j</cp:lastModifiedBy>
  <dcterms:modified xmlns:xsi="http://www.w3.org/2001/XMLSchema-instance" xsi:type="dcterms:W3CDTF">2016-01-08T00:15:00Z</dcterms:modified>
  <cp:revision>9</cp:revision>
  <dc:title>SEERMedicare.docx</dc:title>
</cp:coreProperties>
</file>